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47 RennwLottGABest</w:t>
      </w:r>
    </w:p>
    <w:p>
      <w:r>
        <w:rPr>
          <w:color w:val="555555"/>
          <w:sz w:val="18"/>
        </w:rPr>
        <w:t xml:space="preserve">Rennwett- und Lotteriegesetz-Durchführungsverordnung</w:t>
      </w:r>
    </w:p>
    <w:p>
      <w:r>
        <w:rPr>
          <w:color w:val="555555"/>
          <w:sz w:val="18"/>
        </w:rPr>
        <w:t xml:space="preserve">Außer Kraft: § 47 ist seit 21.07.2021 nicht mehr im RennwLottGABest enthalten. Angezeigt wird die letzte bekannte Fassung, Stand 10.06.2019.</w:t>
      </w:r>
    </w:p>
    <w:p>
      <w:r>
        <w:t xml:space="preserve">(1) Die Steueraufsicht über Totalisatorunternehmen betreibende Renn- und Pferdezuchtvereine (Vereine), Buchmacher, Veranstalter von Lotterien, Ausspielungen und Sportwetten (Veranstalter) ist nicht nur bei Festsetzung der Steuer auf Grund der eingereichten Nachweisungen und Anmeldungen auszuüben, sondern auch durch Prüfungen in den Geschäftsräumen, die der Unterhaltung der Betriebe dienen (Büros der Vereine, der Veranstalter, der Buchmacher und deren Gehilfen) sowie durch Prüfungen der Totalisatorbetriebe auf den Rennplätzen und der Örtlichkeiten, wo Lotterien, Ausspielungen und Sportwetten stattfinden. Wurde ein steuerlicher Beauftragter im Sinne des § 19 Absatz 3 des Rennwett- und Lotteriegesetzes benannt, gilt Satz 1 entsprechend.</w:t>
      </w:r>
    </w:p>
    <w:p>
      <w:r>
        <w:t xml:space="preserve">(2) Staatslotterien und von den Ländern oder in deren Auftrag veranstaltete Sportwetten unterliegen der Steueraufsicht nicht.</w:t>
      </w:r>
    </w:p>
    <w:p>
      <w:r>
        <w:rPr>
          <w:color w:val="555555"/>
          <w:sz w:val="17"/>
        </w:rPr>
        <w:t xml:space="preserve">Zitiervorschlag: § 47 RennwLottGABest</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https://recht.nulegal.eu/gesetze/RennwLottGABest/47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