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RennwLottGABest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Außer Kraft: § 45 ist seit 21.07.2021 nicht mehr im RennwLottGABest enthalten. Angezeigt wird die letzte bekannte Fassung, Stand 10.06.2019.</w:t>
      </w:r>
    </w:p>
    <w:p>
      <w:r>
        <w:t xml:space="preserve">(1) Die Lotteriesteuer soll aus Billigkeitsgründen entweder nicht erhoben oder erstattet werden, wenn</w:t>
      </w:r>
    </w:p>
    <w:p>
      <w:pPr>
        <w:ind w:left="420"/>
      </w:pPr>
      <w:r>
        <w:t xml:space="preserve">a) die Ziehung einer Lotterie oder Ausspielung unterbleibt,</w:t>
      </w:r>
    </w:p>
    <w:p>
      <w:pPr>
        <w:ind w:left="420"/>
      </w:pPr>
      <w:r>
        <w:t xml:space="preserve">b) unter entsprechender Ermäßigung des Gesamtwerts der Gewinne der genehmigte Lotterieplan abgeändert wird.</w:t>
      </w:r>
    </w:p>
    <w:p>
      <w:r>
        <w:t xml:space="preserve">(2) Die Erstattung ist nur insoweit zuzulassen, als im Falle des Absatzes 1 zu a Lose nicht abgesetzt oder vom Veranstalter zurückerworben sind, und im Falle des Absatzes 1 zu b Lose von der Verlosung ausgeschlossen sind.</w:t>
      </w:r>
    </w:p>
    <w:p>
      <w:r>
        <w:t xml:space="preserve">(3) Der Antrag ist schriftlich bei dem Finanzamt bis zum Schluß des Jahres zu stellen, das auf das Jahr folgt, in dem die Ziehung stattfinden sollte.</w:t>
      </w:r>
    </w:p>
    <w:p>
      <w:r>
        <w:t xml:space="preserve">(4) Dem Antrag sind die ihn begründenden Nachweise beizufügen. Die Vorschriften der §§ 131, 133, 136 AO finden Anwendung.</w:t>
      </w:r>
    </w:p>
    <w:p>
      <w:r>
        <w:rPr>
          <w:color w:val="555555"/>
          <w:sz w:val="17"/>
        </w:rPr>
        <w:t xml:space="preserve">Zitiervorschlag: § 45 RennwLottGABest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