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43 RennwLottGABest — Steuerberechnungsformel</w:t>
      </w:r>
    </w:p>
    <w:p>
      <w:r>
        <w:rPr>
          <w:color w:val="555555"/>
          <w:sz w:val="18"/>
        </w:rPr>
        <w:t xml:space="preserve">Rennwett- und Lotteriegesetz-Durchführungsverordnung</w:t>
      </w:r>
    </w:p>
    <w:p>
      <w:r>
        <w:rPr>
          <w:color w:val="555555"/>
          <w:sz w:val="18"/>
        </w:rPr>
        <w:t xml:space="preserve">Stand: 21.07.2021 (konsolidierte Textfassung, kein amtliches Inkrafttretensdatum)</w:t>
      </w:r>
    </w:p>
    <w:p>
      <w:r>
        <w:t xml:space="preserve">(1) In den §§ 9, 17, 27, 37 und 47 des Rennwett- und Lotteriegesetzes wird die Steuerbemessungsgrundlage als geleisteter Wetteinsatz, als geleistetes Teilnahmeentgelt oder als Spieleinsatz jeweils abzüglich der Steuer definiert. Bei dem geleisteten Wetteinsatz, dem geleisteten Teilnahmeentgelt oder dem Spieleinsatz handelt es sich um einen Bruttowert, aus dem die nach dem Rennwett- und Lotteriegesetz geschuldete Steuer herauszurechnen ist.</w:t>
      </w:r>
    </w:p>
    <w:p>
      <w:r>
        <w:t xml:space="preserve">(2) Die jeweilige Steuer ist nach folgender Formel zu berechnen:</w:t>
      </w:r>
    </w:p>
    <w:p>
      <w:r>
        <w:t xml:space="preserve">[Abbildung]</w:t>
      </w:r>
    </w:p>
    <w:p>
      <w:r>
        <w:rPr>
          <w:color w:val="555555"/>
          <w:sz w:val="17"/>
        </w:rPr>
        <w:t xml:space="preserve">Zitiervorschlag: § 43 RennwLottGABest</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https://recht.nulegal.eu/gesetze/RennwLottGABest/43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