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42 RennwLottGABest — Besteuerungsverfahren</w:t>
      </w:r>
    </w:p>
    <w:p>
      <w:r>
        <w:rPr>
          <w:color w:val="555555"/>
          <w:sz w:val="18"/>
        </w:rPr>
        <w:t xml:space="preserve">Rennwett- und Lotteriegesetz-Durchführungsverordnung</w:t>
      </w:r>
    </w:p>
    <w:p>
      <w:r>
        <w:rPr>
          <w:color w:val="555555"/>
          <w:sz w:val="18"/>
        </w:rPr>
        <w:t xml:space="preserve">Stand: 21.07.2021 (konsolidierte Textfassung, kein amtliches Inkrafttretensdatum)</w:t>
      </w:r>
    </w:p>
    <w:p>
      <w:r>
        <w:t xml:space="preserve">(1) Das Besteuerungsverfahren richtet sich nach den §§ 46 bis 55 des Rennwett- und Lotteriegesetzes.</w:t>
      </w:r>
    </w:p>
    <w:p>
      <w:r>
        <w:t xml:space="preserve">(2) Bei der Zahlung der Online-Pokersteuer sind die Steuernummer, die Steuerart und der Zeitraum, für den die Steuer entrichtet wird, anzugeben.</w:t>
      </w:r>
    </w:p>
    <w:p>
      <w:r>
        <w:t xml:space="preserve">(3) Wird die Online-Pokersteuer abweichend festgesetzt, geändert oder berichtigt, ist die Kleinbetragsverordnung zu beachten.</w:t>
      </w:r>
    </w:p>
    <w:p>
      <w:r>
        <w:rPr>
          <w:color w:val="555555"/>
          <w:sz w:val="17"/>
        </w:rPr>
        <w:t xml:space="preserve">Zitiervorschlag: § 42 RennwLottGABest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https://recht.nulegal.eu/gesetze/RennwLottGABest/42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42 RennwLottGABest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