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RennwLottGABest — Zuständigkeit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Ist der Veranstalter des Online-Pokers eine natürliche Person, ist das Finanzamt örtlich zuständig, in dessen Bezirk dieser seinen Wohnsitz oder in Ermangelung eines Wohnsitzes seinen gewöhnlichen Aufenthalt hat. § 19 Absatz 1 Satz 2 der Abgabenordnung gilt entsprechend.</w:t>
      </w:r>
    </w:p>
    <w:p>
      <w:r>
        <w:t xml:space="preserve">(2) Ist der Veranstalter des Online-Pokers eine juristische Person oder Personenvereinigung, ist das Finanzamt örtlich zuständig, in dessen Bezirk sich die Geschäftsleitung befindet. Befindet sich der Ort der Geschäftsleitung nicht im Geltungsbereich des Rennwett- und Lotteriegesetzes oder lässt sich der Ort der Geschäftsleitung nicht feststellen, so ist das Finanzamt örtlich zuständig, in dessen Bezirk der Veranstalter des Online-Pokers seinen Sitz hat.</w:t>
      </w:r>
    </w:p>
    <w:p>
      <w:r>
        <w:t xml:space="preserve">(3) Ergibt sich aus § 55 Satz 1 und 2 des Rennwett- und Lotteriegesetzes keine örtliche Zuständigkeit für die Besteuerung, ist das Finanzamt Frankfurt am Main IV örtlich zuständig.</w:t>
      </w:r>
    </w:p>
    <w:p>
      <w:r>
        <w:t xml:space="preserve">(4) Für die Zerlegung des Gesamtaufkommens der Online-Pokersteuer ist die Landesfinanzbehörde der Freien und Hansestadt Hamburg zuständig.</w:t>
      </w:r>
    </w:p>
    <w:p>
      <w:r>
        <w:rPr>
          <w:color w:val="555555"/>
          <w:sz w:val="17"/>
        </w:rPr>
        <w:t xml:space="preserve">Zitiervorschlag: § 40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RennwLottGABest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