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RennwLottGABest — Veranstaltungsort</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(1) In den Fällen des § 46 Satz 2 Nummer 1 des Rennwett- und Lotteriegesetzes ist der Veranstaltungsort dort, wo der Veranstalter des Online-Pokers seinen Wohnsitz, gewöhnlichen Aufenthalt, Ort der Geschäftsleitung oder Sitz hat, unabhängig davon, wo der Spieler die zur Entstehung des Spielvertrages erforderlichen Handlungen vornimmt.</w:t>
      </w:r>
    </w:p>
    <w:p>
      <w:r>
        <w:t xml:space="preserve">(2) In den Fällen des § 46 Satz 2 Nummer 2 des Rennwett- und Lotteriegesetzes ist der Veranstaltungsort im Geltungsbereich des Rennwett- und Lotteriegesetzes belegen, wenn der Spieler die zur Entstehung des Spielvertrages erforderlichen Handlungen im Geltungsbereich des Rennwett- und Lotteriegesetzes vornimmt. Maßgeblich für die Ortsbestimmung ist grundsätzlich der Ort der physischen Anwesenheit des Spielers. Sofern der Veranstalter den Ort der physischen Anwesenheit des Spielers nicht feststellen kann, gilt der Wohnsitz des Spielers als Veranstaltungsort. Dies gilt unabhängig davon, wo der Veranstalter des Online-Pokers seinen Wohnsitz, gewöhnlichen Aufenthalt, Ort der Geschäftsleitung oder Sitz hat oder sonstige technische Vorrichtungen (z. B. Server) vorhält.</w:t>
      </w:r>
    </w:p>
    <w:p>
      <w:r>
        <w:t xml:space="preserve">(3) Erforderliche Handlungen zur Entstehung des Spielvertrages sind die Handlungen, die zur Abgabe der Willenserklärung zum Abschluss des Spielvertrages in jedweder Form vorgenommen werden, z. B. in schriftlicher, mündlicher oder elektronischer Form.</w:t>
      </w:r>
    </w:p>
    <w:p>
      <w:r>
        <w:rPr>
          <w:color w:val="555555"/>
          <w:sz w:val="17"/>
        </w:rPr>
        <w:t xml:space="preserve">Zitiervorschlag: § 39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