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RennwLottGABest — Besteuerungsverfahren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(1) Das Besteuerungsverfahren richtet sich nach den §§ 36 bis 45 des Rennwett- und Lotteriegesetzes.</w:t>
      </w:r>
    </w:p>
    <w:p>
      <w:r>
        <w:t xml:space="preserve">(2) Bei der Zahlung der Virtuellen Automatensteuer sind die Steuernummer, die Steuerart und der Zeitraum, für den die Steuer entrichtet wird, anzugeben.</w:t>
      </w:r>
    </w:p>
    <w:p>
      <w:r>
        <w:t xml:space="preserve">(3) Wird die Virtuelle Automatensteuer abweichend festgesetzt, geändert oder berichtigt, ist die Kleinbetragsverordnung zu beachten.</w:t>
      </w:r>
    </w:p>
    <w:p>
      <w:r>
        <w:rPr>
          <w:color w:val="555555"/>
          <w:sz w:val="17"/>
        </w:rPr>
        <w:t xml:space="preserve">Zitiervorschlag: § 36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RennwLottGABest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