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RennwLottGABest — Anzeigepflichten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(1) Wer virtuelles Automatenspiel im Sinne des § 36 des Rennwett- und Lotteriegesetzes veranstalten will, hat dem zuständigen Finanzamt unverzüglich schriftlich anzuzeigen:</w:t>
      </w:r>
    </w:p>
    <w:p>
      <w:pPr>
        <w:ind w:left="420"/>
      </w:pPr>
      <w:r>
        <w:t xml:space="preserve">1. Name,</w:t>
      </w:r>
    </w:p>
    <w:p>
      <w:pPr>
        <w:ind w:left="420"/>
      </w:pPr>
      <w:r>
        <w:t xml:space="preserve">2. Gewerbe,</w:t>
      </w:r>
    </w:p>
    <w:p>
      <w:pPr>
        <w:ind w:left="420"/>
      </w:pPr>
      <w:r>
        <w:t xml:space="preserve">3. Wohnsitz, gewöhnlichen Aufenthalt, Ort der Geschäftsleitung oder Sitz,</w:t>
      </w:r>
    </w:p>
    <w:p>
      <w:pPr>
        <w:ind w:left="420"/>
      </w:pPr>
      <w:r>
        <w:t xml:space="preserve">4. Zeitpunkt der Aufnahme des Spielbetriebs und</w:t>
      </w:r>
    </w:p>
    <w:p>
      <w:pPr>
        <w:ind w:left="420"/>
      </w:pPr>
      <w:r>
        <w:t xml:space="preserve">5. Zugangsmöglichkeiten für eine Teilnahme am virtuellen Automatenspiel.</w:t>
      </w:r>
    </w:p>
    <w:p>
      <w:r>
        <w:t xml:space="preserve">(2) Ist ein steuerlicher Beauftragter gemäß § 42 Absatz 1 des Rennwett- und Lotteriegesetzes bestellt worden, ist auch dieser dem zuständigen Finanzamt unverzüglich schriftlich zu benennen.</w:t>
      </w:r>
    </w:p>
    <w:p>
      <w:r>
        <w:rPr>
          <w:color w:val="555555"/>
          <w:sz w:val="17"/>
        </w:rPr>
        <w:t xml:space="preserve">Zitiervorschlag: § 35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