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RennwLottGABest — Veranstalter</w:t>
      </w:r>
    </w:p>
    <w:p>
      <w:r>
        <w:rPr>
          <w:color w:val="555555"/>
          <w:sz w:val="18"/>
        </w:rPr>
        <w:t xml:space="preserve">Rennwett- und Lotteriegesetz-Durchführungsverordnung</w:t>
      </w:r>
    </w:p>
    <w:p>
      <w:r>
        <w:rPr>
          <w:color w:val="555555"/>
          <w:sz w:val="18"/>
        </w:rPr>
        <w:t xml:space="preserve">Stand: 21.07.2021 (konsolidierte Textfassung, kein amtliches Inkrafttretensdatum)</w:t>
      </w:r>
    </w:p>
    <w:p>
      <w:r>
        <w:t xml:space="preserve">Veranstalter des virtuellen Automatenspiels ist diejenige Person, die das Spielgeschehen in tatsächlicher oder rechtlicher Hinsicht maßgeblich gestaltet. Sie entscheidet insbesondere über die angebotenen Spiele und ordnet die regelungsbedürftigen Fragen im Verhältnis zu den Spielern, z. B. durch vorformulierte Vertragsbedingungen, und setzt diese selbst oder durch andere entsprechend um.</w:t>
      </w:r>
    </w:p>
    <w:p>
      <w:r>
        <w:rPr>
          <w:color w:val="555555"/>
          <w:sz w:val="17"/>
        </w:rPr>
        <w:t xml:space="preserve">Zitiervorschlag: § 32 RennwLottGABest</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