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RennwLottGABest — Bemessungsgrundlage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21.07.2021 (konsolidierte Textfassung, kein amtliches Inkrafttretensdatum)</w:t>
      </w:r>
    </w:p>
    <w:p>
      <w:r>
        <w:t xml:space="preserve">Der geleistete Spieleinsatz nach § 37 des Rennwett- und Lotteriegesetzes umfasst nicht Spielboni, die dem Spieler zur Verfügung gestellt werden, aber nicht ausbezahlt, sondern nur verspielt werden können.</w:t>
      </w:r>
    </w:p>
    <w:p>
      <w:r>
        <w:rPr>
          <w:color w:val="555555"/>
          <w:sz w:val="17"/>
        </w:rPr>
        <w:t xml:space="preserve">Zitiervorschlag: § 31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RennwLottGABest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