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w:body>
    <w:p>
      <w:pPr>
        <w:pStyle w:val="Heading1"/>
      </w:pPr>
      <w:r>
        <w:t xml:space="preserve">§ 27 RennwLottGABest — Steuerbefreiung</w:t>
      </w:r>
    </w:p>
    <w:p>
      <w:r>
        <w:rPr>
          <w:color w:val="555555"/>
          <w:sz w:val="18"/>
        </w:rPr>
        <w:t xml:space="preserve">Rennwett- und Lotteriegesetz-Durchführungsverordnung</w:t>
      </w:r>
    </w:p>
    <w:p>
      <w:r>
        <w:rPr>
          <w:color w:val="555555"/>
          <w:sz w:val="18"/>
        </w:rPr>
        <w:t xml:space="preserve">Stand: 21.07.2021 (konsolidierte Textfassung, kein amtliches Inkrafttretensdatum)</w:t>
      </w:r>
    </w:p>
    <w:p>
      <w:r>
        <w:t xml:space="preserve">(1) Die in § 28 des Rennwett- und Lotteriegesetzes bestimmten Freigrenzen bemessen sich nach dem Gesamtbetrag der geleisteten Teilnahmeentgelte.</w:t>
      </w:r>
    </w:p>
    <w:p>
      <w:r>
        <w:t xml:space="preserve">(2) § 28 des Rennwett- und Lotteriegesetzes gilt nur für öffentliche Lotterien und Ausspielungen, die von den jeweils zuständigen Behörden genehmigt oder allgemein erlaubt worden sind. Die Voraussetzungen für die Erlaubnis der öffentlichen Lotterie oder Ausspielung ergeben sich aus den landesgesetzlichen Regelungen. Die Entscheidung der Erlaubnisbehörde ist für Zwecke der Lotteriesteuer bindend. Dies gilt auch für nachträglich erteilte Erlaubnisse.</w:t>
      </w:r>
    </w:p>
    <w:p>
      <w:r>
        <w:t xml:space="preserve">(3) Ist eine notwendige Erlaubnis nicht eingeholt oder eine erforderliche Anzeige nicht erfolgt und liegt damit keine Entscheidung der Erlaubnisbehörde vor, ist § 28 des Rennwett- und Lotteriegesetzes nicht anwendbar. Gleiches gilt, wenn eine erteilte Erlaubnis widerrufen wird.</w:t>
      </w:r>
    </w:p>
    <w:p>
      <w:r>
        <w:t xml:space="preserve">(4) Voraussetzung für die Steuerbefreiung nach § 28 Nummer 2 des Rennwett- und Lotteriegesetzes ist zudem, dass die öffentliche Lotterie oder Ausspielung ausschließlich gemeinnützigen, mildtätigen oder kirchlichen Zwecken im Sinne der §§ 52 bis 54 der Abgabenordnung dient.</w:t>
      </w:r>
    </w:p>
    <w:p>
      <w:r>
        <w:t xml:space="preserve">(5) Der tatsächlich erzielte Reinertrag ist in den Fällen des § 28 Nummer 2 des Rennwett- und Lotteriegesetzes in voller Höhe unmittelbar und zeitnah den in Absatz 4 genannten begünstigten Zwecken zuzuführen. Der tatsächlich erzielte Reinertrag ist der Betrag, der sich aus der Summe der tatsächlichen Kaufpreise sämtlicher Lose nach Abzug der mit der öffentlichen Lotterie oder Ausspielung zusammenhängenden tatsächlichen Kosten, Gewinnsummen und Steuern ergibt.</w:t>
      </w:r>
    </w:p>
    <w:p>
      <w:r>
        <w:rPr>
          <w:color w:val="555555"/>
          <w:sz w:val="17"/>
        </w:rPr>
        <w:t xml:space="preserve">Zitiervorschlag: § 27 RennwLottGABest</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https://recht.nulegal.eu/gesetze/RennwLottGABest/27</w:t>
      </w:r>
    </w:p>
    <w:sectPr>
      <w:headerReference w:type="default" r:id="rId2"/>
      <w:footerReference w:type="default" r:id="rId3"/>
      <w:pgSz w:w="11906" w:h="16838"/>
      <w:pgMar w:top="1250" w:right="1250" w:bottom="1250" w:left="1250" w:header="720" w:footer="720"/>
    </w:sectPr>
  </w:body>
</w:document>
</file>

<file path=word/footer1.xml><?xml version="1.0" encoding="utf-8"?>
<w:ftr xmlns:w="http://schemas.openxmlformats.org/wordprocessingml/2006/main">
  <w:p>
    <w:pPr>
      <w:tabs>
        <w:tab w:val="right" w:pos="9406"/>
      </w:tabs>
      <w:pBdr>
        <w:top w:val="single" w:sz="4" w:space="4" w:color="CCCCCC"/>
      </w:pBdr>
      <w:spacing w:before="0" w:after="40"/>
    </w:pPr>
    <w:r>
      <w:rPr>
        <w:color w:val="767676"/>
        <w:sz w:val="15"/>
      </w:rPr>
      <w:t xml:space="preserve">nu:legal · recht.nulegal.eu · Nicht-amtliche Lesefassung. Amtliche Fassung: recht.bund.de</w:t>
    </w:r>
    <w:r>
      <w:rPr>
        <w:color w:val="767676"/>
        <w:sz w:val="15"/>
      </w:rPr>
      <w:tab/>
      <w:t xml:space="preserve">Seite </w:t>
    </w:r>
    <w:r>
      <w:rPr>
        <w:color w:val="767676"/>
        <w:sz w:val="15"/>
      </w:rPr>
      <w:fldChar w:fldCharType="begin"/>
    </w:r>
    <w:r>
      <w:rPr>
        <w:color w:val="767676"/>
        <w:sz w:val="15"/>
      </w:rPr>
      <w:instrText xml:space="preserve"> PAGE </w:instrText>
    </w:r>
    <w:r>
      <w:rPr>
        <w:color w:val="767676"/>
        <w:sz w:val="15"/>
      </w:rPr>
      <w:fldChar w:fldCharType="separate"/>
    </w:r>
    <w:r>
      <w:rPr>
        <w:color w:val="767676"/>
        <w:sz w:val="15"/>
      </w:rPr>
      <w:t>1</w:t>
    </w:r>
    <w:r>
      <w:rPr>
        <w:color w:val="767676"/>
        <w:sz w:val="15"/>
      </w:rPr>
      <w:fldChar w:fldCharType="end"/>
    </w:r>
    <w:r>
      <w:rPr>
        <w:color w:val="767676"/>
        <w:sz w:val="15"/>
      </w:rPr>
      <w:t xml:space="preserve"> von </w:t>
    </w:r>
    <w:r>
      <w:rPr>
        <w:color w:val="767676"/>
        <w:sz w:val="15"/>
      </w:rPr>
      <w:fldChar w:fldCharType="begin"/>
    </w:r>
    <w:r>
      <w:rPr>
        <w:color w:val="767676"/>
        <w:sz w:val="15"/>
      </w:rPr>
      <w:instrText xml:space="preserve"> NUMPAGES </w:instrText>
    </w:r>
    <w:r>
      <w:rPr>
        <w:color w:val="767676"/>
        <w:sz w:val="15"/>
      </w:rPr>
      <w:fldChar w:fldCharType="separate"/>
    </w:r>
    <w:r>
      <w:rPr>
        <w:color w:val="767676"/>
        <w:sz w:val="15"/>
      </w:rPr>
      <w:t>1</w:t>
    </w:r>
    <w:r>
      <w:rPr>
        <w:color w:val="767676"/>
        <w:sz w:val="15"/>
      </w:rPr>
      <w:fldChar w:fldCharType="end"/>
    </w:r>
  </w:p>
</w:ftr>
</file>

<file path=word/header1.xml><?xml version="1.0" encoding="utf-8"?>
<w:hdr xmlns:w="http://schemas.openxmlformats.org/wordprocessingml/2006/main">
  <w:p>
    <w:pPr>
      <w:tabs>
        <w:tab w:val="right" w:pos="9406"/>
      </w:tabs>
      <w:pBdr>
        <w:bottom w:val="single" w:sz="4" w:space="4" w:color="CCCCCC"/>
      </w:pBdr>
      <w:spacing w:before="0" w:after="40"/>
    </w:pPr>
    <w:r>
      <w:rPr>
        <w:b/>
        <w:color w:val="767676"/>
        <w:sz w:val="15"/>
      </w:rPr>
      <w:t xml:space="preserve">nu:legal</w:t>
    </w:r>
    <w:r>
      <w:rPr>
        <w:color w:val="767676"/>
        <w:sz w:val="15"/>
      </w:rPr>
      <w:tab/>
      <w:t xml:space="preserve">§ 27 RennwLottGABest</w:t>
    </w:r>
  </w:p>
</w:hdr>
</file>

<file path=word/styles.xml><?xml version="1.0" encoding="utf-8"?>
<w:styles xmlns:w="http://schemas.openxmlformats.org/wordprocessingml/2006/main">
  <w:docDefaults>
    <w:rPrDefault>
      <w:rPr>
        <w:rFonts w:ascii="Arial" w:hAnsi="Arial"/>
        <w:sz w:val="22"/>
        <w:lang w:val="de-DE"/>
      </w:rPr>
    </w:rPrDefault>
  </w:docDefaults>
  <w:style w:type="paragraph" w:default="1" w:styleId="Normal">
    <w:name w:val="Normal"/>
    <w:pPr>
      <w:spacing w:after="160" w:line="276" w:lineRule="auto"/>
    </w:pPr>
  </w:style>
  <w:style w:type="paragraph" w:styleId="Heading1">
    <w:name w:val="heading 1"/>
    <w:basedOn w:val="Normal"/>
    <w:pPr>
      <w:spacing w:before="0" w:after="220"/>
      <w:outlineLvl w:val="0"/>
    </w:pPr>
    <w:rPr>
      <w:b/>
      <w:sz w:val="32"/>
    </w:rPr>
  </w:style>
  <w:style w:type="paragraph" w:styleId="Heading2">
    <w:name w:val="heading 2"/>
    <w:basedOn w:val="Normal"/>
    <w:pPr>
      <w:spacing w:before="260" w:after="150"/>
      <w:outlineLvl w:val="1"/>
    </w:pPr>
    <w:rPr>
      <w:b/>
      <w:sz w:val="26"/>
    </w:rPr>
  </w:style>
</w:styles>
</file>

<file path=word/_rels/document.xml.rels><?xml version="1.0" encoding="UTF-8" standalone="yes"?>
<Relationships xmlns="http://schemas.openxmlformats.org/package/2006/relationships">
<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oter" Target="footer1.xml"/></Relationships>
</file>