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RennwLottGABest — Bemessungsgrundlage</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(1) Das geleistete Teilnahmeentgelt im Sinne des § 27 des Rennwett- und Lotteriegesetzes umfasst nicht Spielboni, die dem Spielenden zur Verfügung gestellt werden, aber nicht ausbezahlt, sondern nur verspielt werden können. Vom Veranstalter festgelegte Gebühren sind solche, die der Veranstalter als Gläubiger beansprucht und die betragsmäßig konkret bestimmt sind.</w:t>
      </w:r>
    </w:p>
    <w:p>
      <w:r>
        <w:t xml:space="preserve">(2) Ein Erneuerungslos im Sinne des § 27 Absatz 1 Satz 4 des Rennwett- und Lotteriegesetzes ist das Los einer Klassenlotterie mit Teilnahmeberechtigung für die folgende Klasse, das dieselbe Nummer und gegebenenfalls denselben Buchstaben des Loses trägt, mit dem der Spieler an der Vorklasse teilgenommen hat.</w:t>
      </w:r>
    </w:p>
    <w:p>
      <w:r>
        <w:t xml:space="preserve">(3) Der Wert der vorgehaltenen Gewinne im Sinne des § 27 Absatz 2 des Rennwett- und Lotteriegesetzes ist regelmäßig die Summe der Anschaffungskosten der einzelnen Preise. Werden Preise unentgeltlich zur Verfügung gestellt, ist deren Wert in diesem Zeitpunkt zu schätzen. Dabei können grundsätzlich die Anschaffungskosten vergleichbarer Wirtschaftsgüter zugrunde gelegt werden.</w:t>
      </w:r>
    </w:p>
    <w:p>
      <w:r>
        <w:t xml:space="preserve">(4) Von der inländischen Behörde genehmigte Gebühren im Sinne des § 27 Absatz 4 des Rennwett- und Lotteriegesetzes sind auch solche, die von Dritten erhoben werden und für die der Veranstalter lediglich einen Gebührenrahmen vorgibt. Soweit die inländischen Behörden diese Gebühren von Lotterieeinnehmern, Lotterievermittlern oder sonstigen Dritten allgemein und ohne Einschränkung genehmigen, erfolgt keine Hinzurechnung zur Bemessungsgrundlage, da keine genehmigte Höhe überschritten wurde. Das gilt entsprechend für Gebühren oder Entgelte, die aufgrund eines Gesetzes allgemein oder der Höhe nach erlaubt sind.</w:t>
      </w:r>
    </w:p>
    <w:p>
      <w:r>
        <w:rPr>
          <w:color w:val="555555"/>
          <w:sz w:val="17"/>
        </w:rPr>
        <w:t xml:space="preserve">Zitiervorschlag: § 26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