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RennwLottGABest — Veranstaltungsort</w:t>
      </w:r>
    </w:p>
    <w:p>
      <w:r>
        <w:rPr>
          <w:color w:val="555555"/>
          <w:sz w:val="18"/>
        </w:rPr>
        <w:t xml:space="preserve">Rennwett- und Lotteriegesetz-Durchführungsverordnung</w:t>
      </w:r>
    </w:p>
    <w:p>
      <w:r>
        <w:rPr>
          <w:color w:val="555555"/>
          <w:sz w:val="18"/>
        </w:rPr>
        <w:t xml:space="preserve">Stand: 21.07.2021 (konsolidierte Textfassung, kein amtliches Inkrafttretensdatum)</w:t>
      </w:r>
    </w:p>
    <w:p>
      <w:r>
        <w:t xml:space="preserve">(1) In den Fällen des § 26 Absatz 1 Satz 2 Nummer 1 des Rennwett- und Lotteriegesetzes ist der Veranstaltungsort dort, wo der Veranstalter der Lotterie oder Ausspielung seinen Wohnsitz, gewöhnlichen Aufenthalt, Ort der Geschäftsleitung oder Sitz hat, unabhängig davon, wo der Spieler die zur Entstehung des Spielvertrages erforderlichen Handlungen vornimmt.</w:t>
      </w:r>
    </w:p>
    <w:p>
      <w:r>
        <w:t xml:space="preserve">(2) In den Fällen des § 26 Absatz 1 Satz 2 Nummer 2 des Rennwett- und Lotteriegesetzes ist der Veranstaltungsort im Geltungsbereich des Rennwett- und Lotteriegesetzes belegen, wenn der Spieler die zur Entstehung des Spielvertrages erforderlichen Handlungen im Geltungsbereich des Rennwett- und Lotteriegesetzes vornimmt. Maßgeblich für die Ortsbestimmung ist grundsätzlich der Ort der physischen Anwesenheit des Spielers. Sofern der Veranstalter den Ort der physischen Anwesenheit des Spielers nicht feststellen kann, gilt der Wohnsitz des Spielers als Veranstaltungsort. Dies gilt unabhängig davon, wo der Veranstalter der Lotterie oder Ausspielung seinen Wohnsitz, gewöhnlichen Aufenthalt, Ort der Geschäftsleitung oder Sitz außerhalb des Geltungsbereichs des Rennwett- und Lotteriegesetzes hat oder sonstige technische Vorrichtungen (z. B. Server) vorhält.</w:t>
      </w:r>
    </w:p>
    <w:p>
      <w:r>
        <w:t xml:space="preserve">(3) Erforderliche Handlungen zur Entstehung des Spielvertrages sind die Handlungen, die zur Abgabe der Willenserklärung zum Abschluss des Spielvertrages in jedweder Form vorgenommen werden, z. B. in schriftlicher, mündlicher oder elektronischer Form.</w:t>
      </w:r>
    </w:p>
    <w:p>
      <w:r>
        <w:rPr>
          <w:color w:val="555555"/>
          <w:sz w:val="17"/>
        </w:rPr>
        <w:t xml:space="preserve">Zitiervorschlag: § 25 RennwLottGABest</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https://recht.nulegal.eu/gesetze/RennwLottGABest/25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