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RennwLottGABest — Bemessungsgrundlage</w:t>
      </w:r>
    </w:p>
    <w:p>
      <w:r>
        <w:rPr>
          <w:color w:val="555555"/>
          <w:sz w:val="18"/>
        </w:rPr>
        <w:t xml:space="preserve">Rennwett- und Lotteriegesetz-Durchführungsverordnung</w:t>
      </w:r>
    </w:p>
    <w:p>
      <w:r>
        <w:rPr>
          <w:color w:val="555555"/>
          <w:sz w:val="18"/>
        </w:rPr>
        <w:t xml:space="preserve">Stand: 21.07.2021 (konsolidierte Textfassung, kein amtliches Inkrafttretensdatum)</w:t>
      </w:r>
    </w:p>
    <w:p>
      <w:r>
        <w:t xml:space="preserve">Der geleistete Wetteinsatz nach § 17 des Rennwett- und Lotteriegesetzes umfasst nicht Wettboni, die dem Wettenden zur Verfügung gestellt werden, aber nicht ausbezahlt, sondern nur verspielt werden können.</w:t>
      </w:r>
    </w:p>
    <w:p>
      <w:r>
        <w:rPr>
          <w:color w:val="555555"/>
          <w:sz w:val="17"/>
        </w:rPr>
        <w:t xml:space="preserve">Zitiervorschlag: § 16 RennwLottGABest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https://recht.nulegal.eu/gesetze/RennwLottGABest/16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