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RennwLottGABest — Zuständigkeit</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Ist der Veranstalter der Rennwette eine natürliche Person, ist das Finanzamt örtlich zuständig, in dessen Bezirk dieser seinen Wohnsitz hat oder in Ermangelung eines Wohnsitzes seinen gewöhnlichen Aufenthalt hat. § 19 Absatz 1 Satz 2 der Abgabenordnung gilt entsprechend.</w:t>
      </w:r>
    </w:p>
    <w:p>
      <w:r>
        <w:t xml:space="preserve">(2) Ist der Veranstalter der Rennwette eine juristische Person oder Personenvereinigung, ist das Finanzamt örtlich zuständig, in dessen Bezirk sich die Geschäftsleitung befindet. Befindet sich der Ort der Geschäftsleitung nicht im Geltungsbereich des Rennwett- und Lotteriegesetzes oder lässt sich der Ort der Geschäftsleitung nicht feststellen, ist das Finanzamt örtlich zuständig, in dessen Bezirk der Veranstalter der Rennwette seinen Sitz hat.</w:t>
      </w:r>
    </w:p>
    <w:p>
      <w:r>
        <w:rPr>
          <w:color w:val="555555"/>
          <w:sz w:val="17"/>
        </w:rPr>
        <w:t xml:space="preserve">Zitiervorschlag: § 13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