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RennwLottGABest — Buchführung des Buchmachers</w:t>
      </w:r>
    </w:p>
    <w:p>
      <w:r>
        <w:rPr>
          <w:color w:val="555555"/>
          <w:sz w:val="18"/>
        </w:rPr>
        <w:t xml:space="preserve">Rennwett- und Lotteriegesetz-Durchführungsverordnung</w:t>
      </w:r>
    </w:p>
    <w:p>
      <w:r>
        <w:rPr>
          <w:color w:val="555555"/>
          <w:sz w:val="18"/>
        </w:rPr>
        <w:t xml:space="preserve">Stand: 21.07.2021 (konsolidierte Textfassung, kein amtliches Inkrafttretensdatum)</w:t>
      </w:r>
    </w:p>
    <w:p>
      <w:r>
        <w:t xml:space="preserve">Jeder Buchmacher hat über seine Einnahmen und Ausgaben aus dem Wettgeschäft Buch zu führen. Aus der Buchführung müssen</w:t>
      </w:r>
    </w:p>
    <w:p>
      <w:pPr>
        <w:ind w:left="420"/>
      </w:pPr>
      <w:r>
        <w:t xml:space="preserve">1. als Einnahmen die täglichen Eingänge an Wetteinsätzen, die Forderungen des Buchmachers aus abgeschlossenen Wettverträgen und die sonstigen Einnahmen aus dem Wettbetrieb,</w:t>
      </w:r>
    </w:p>
    <w:p>
      <w:pPr>
        <w:ind w:left="420"/>
      </w:pPr>
      <w:r>
        <w:t xml:space="preserve">2. als Ausgaben die ausgezahlten Gewinne, etwa zurückgezahlte Einsätze, die Rennwettsteuer unter Hinweis auf den betreffenden Wettschein, ferner Gebühren und sonstige Unkosten und die Zahlungen an diejenigen namentlich zu bezeichnenden Buchmacher, an welche eine bestimmte, genau zu bezeichnende Wette weitergegeben ist,</w:t>
      </w:r>
    </w:p>
    <w:p>
      <w:r>
        <w:t xml:space="preserve">zu ersehen sein. § 9 gilt entsprechend.</w:t>
      </w:r>
    </w:p>
    <w:p>
      <w:r>
        <w:rPr>
          <w:color w:val="555555"/>
          <w:sz w:val="17"/>
        </w:rPr>
        <w:t xml:space="preserve">Zitiervorschlag: § 10 RennwLottGABest</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https://recht.nulegal.eu/gesetze/RennwLottGABest/10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