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RennwLottGABest — Erlaubnisempfänger</w:t>
      </w:r>
    </w:p>
    <w:p>
      <w:r>
        <w:rPr>
          <w:color w:val="555555"/>
          <w:sz w:val="18"/>
        </w:rPr>
        <w:t xml:space="preserve">Rennwett- und Lotteriegesetz-Durchführungsverordnung</w:t>
      </w:r>
    </w:p>
    <w:p>
      <w:r>
        <w:rPr>
          <w:color w:val="555555"/>
          <w:sz w:val="18"/>
        </w:rPr>
        <w:t xml:space="preserve">Stand: 21.07.2021 (konsolidierte Textfassung, kein amtliches Inkrafttretensdatum)</w:t>
      </w:r>
    </w:p>
    <w:p>
      <w:r>
        <w:t xml:space="preserve">Die Erlaubnis zum Abschluss und zur Vermittlung von Rennwetten darf nur Betreibern von Totalisatoren und Buchmachern erteilt werden.</w:t>
      </w:r>
    </w:p>
    <w:p>
      <w:r>
        <w:rPr>
          <w:color w:val="555555"/>
          <w:sz w:val="17"/>
        </w:rPr>
        <w:t xml:space="preserve">Zitiervorschlag: § 1 RennwLottGABest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https://recht.nulegal.eu/gesetze/RennwLottGABest/1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