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RennwLottG 2021 — Ermächtigungen</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Das Bundesministerium für Ernährung und Landwirtschaft wird ermächtigt, durch Rechtsverordnung mit Zustimmung des Bundesrates zum Zweck der Förderung der Tierzucht mit Pferden</w:t>
      </w:r>
    </w:p>
    <w:p>
      <w:pPr>
        <w:ind w:left="420"/>
      </w:pPr>
      <w:r>
        <w:t xml:space="preserve">1. die näheren Voraussetzungen für das Erteilen einer Erlaubnis nach § 1 Absatz 1 oder § 2 Absatz 1 in Verbindung mit § 2 Absatz 2 und die Bekanntmachung der Erlaubniserteilung,</w:t>
      </w:r>
    </w:p>
    <w:p>
      <w:pPr>
        <w:ind w:left="420"/>
      </w:pPr>
      <w:r>
        <w:t xml:space="preserve">2. die Tatbestände, auf die sich die Erlaubnis erstreckt,</w:t>
      </w:r>
    </w:p>
    <w:p>
      <w:pPr>
        <w:ind w:left="420"/>
      </w:pPr>
      <w:r>
        <w:t xml:space="preserve">3. das Verfahren für das Erteilen der Erlaubnis, einschließlich der Aufbewahrungspflichten und sonstiger Auflagen,</w:t>
      </w:r>
    </w:p>
    <w:p>
      <w:pPr>
        <w:ind w:left="420"/>
      </w:pPr>
      <w:r>
        <w:t xml:space="preserve">4. die Angaben im Wettschein, das Beurkunden und Aufzeichnen abgeschlossener Wetten durch den Erlaubnisinhaber, einschließlich der Aufbewahrung der Urkunden und Bescheinigungen,</w:t>
      </w:r>
    </w:p>
    <w:p>
      <w:pPr>
        <w:ind w:left="420"/>
      </w:pPr>
      <w:r>
        <w:t xml:space="preserve">5. die Einzelheiten des Zuweisungsverfahrens, die Begrenzung der Höhe der Zuweisungen auf die Nettokosten nach § 7 Absatz 1 sowie die Zerlegung des zuweisungsfähigen Aufkommens der Buchmachersteuer nach den §§ 7 und 8 Absatz 2 und der Sportwettensteuer nach den §§ 7 und 16 sowie die besonderen Mitteilungspflichten nach § 7 Absatz 3</w:t>
      </w:r>
    </w:p>
    <w:p>
      <w:r>
        <w:t xml:space="preserve">zu regeln.</w:t>
      </w:r>
    </w:p>
    <w:p>
      <w:r>
        <w:t xml:space="preserve">(2) Die Landesregierungen werden ermächtigt, Rechtsverordnungen nach Absatz 1 zu erlassen, soweit das Bundesministerium für Ernährung und Landwirtschaft von seiner Befugnis keinen Gebrauch macht. Sie können diese Befugnis auf oberste Landesbehörden übertragen.</w:t>
      </w:r>
    </w:p>
    <w:p>
      <w:r>
        <w:t xml:space="preserve">(3) Die Länder können über Rechtsverordnungen nach den Absätzen 1 und 2 hinaus weitergehende Vorschriften über das Veranstalten und Vermitteln von Pferdewetten, das Vermitteln von Pferdewetten über das Internet und in das Ausland sowie Vorschriften über Regelungen zur Spielersperre, Spielwerbung und zum Schutz Minderjähriger erlassen. Die landesrechtlichen Vorschriften können auch Regelungen zum Schutz der Allgemeinheit, insbesondere die Gefahrenaufklärung der Öffentlichkeit, umfassen.</w:t>
      </w:r>
    </w:p>
    <w:p>
      <w:r>
        <w:rPr>
          <w:color w:val="555555"/>
          <w:sz w:val="17"/>
        </w:rPr>
        <w:t xml:space="preserve">Zitiervorschlag: § 6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