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RennwLottG 2021 — Aufzeichnungspflichten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Steuerschuldner (§ 49) ist verpflichtet, für jedes Online-Poker Aufzeichnungen zur Ermittlung der Online-Pokersteuer und zu den Grundlagen ihrer Berechnung zu führen. Ist ein steuerlicher Beauftragter gemäß § 52 benannt, hat der Veranstalter diesem die Aufzeichnungen nach Satz 1 monatlich zu übermitteln.</w:t>
      </w:r>
    </w:p>
    <w:p>
      <w:r>
        <w:t xml:space="preserve">(2) Aus den Aufzeichnungen müssen insbesondere zu ersehen sein:</w:t>
      </w:r>
    </w:p>
    <w:p>
      <w:pPr>
        <w:ind w:left="420"/>
      </w:pPr>
      <w:r>
        <w:t xml:space="preserve">1. Name und Anschrift des Spielers,</w:t>
      </w:r>
    </w:p>
    <w:p>
      <w:pPr>
        <w:ind w:left="420"/>
      </w:pPr>
      <w:r>
        <w:t xml:space="preserve">2. geleisteter Spieleinsatz,</w:t>
      </w:r>
    </w:p>
    <w:p>
      <w:pPr>
        <w:ind w:left="420"/>
      </w:pPr>
      <w:r>
        <w:t xml:space="preserve">3. Zeitpunkt der Leistung des Spieleinsatzes,</w:t>
      </w:r>
    </w:p>
    <w:p>
      <w:pPr>
        <w:ind w:left="420"/>
      </w:pPr>
      <w:r>
        <w:t xml:space="preserve">4. Höhe der Steuer und</w:t>
      </w:r>
    </w:p>
    <w:p>
      <w:pPr>
        <w:ind w:left="420"/>
      </w:pPr>
      <w:r>
        <w:t xml:space="preserve">5. Zugangsmöglichkeiten für eine Teilnahme am Online-Poker.</w:t>
      </w:r>
    </w:p>
    <w:p>
      <w:r>
        <w:t xml:space="preserve">(3) Die Aufzeichnungen zu den Zugangsmöglichkeiten im Sinne des Absatzes 2 Nummer 5 umfassen insbesondere die Internetadresse des Angebots sowie die Namen der verfügbaren Applikationen, die zusätzlich oder gänzlich selbständig über Endgeräte genutzt werden können.</w:t>
      </w:r>
    </w:p>
    <w:p>
      <w:r>
        <w:rPr>
          <w:color w:val="555555"/>
          <w:sz w:val="17"/>
        </w:rPr>
        <w:t xml:space="preserve">Zitiervorschlag: § 53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