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RennwLottG 2021 — Steuerentstehung</w:t>
      </w:r>
    </w:p>
    <w:p>
      <w:r>
        <w:rPr>
          <w:color w:val="555555"/>
          <w:sz w:val="18"/>
        </w:rPr>
        <w:t xml:space="preserve">Rennwett- und Lotteriegesetz</w:t>
      </w:r>
    </w:p>
    <w:p>
      <w:r>
        <w:rPr>
          <w:color w:val="555555"/>
          <w:sz w:val="18"/>
        </w:rPr>
        <w:t xml:space="preserve">Stand: 01.07.2021 (konsolidierte Textfassung, kein amtliches Inkrafttretensdatum)</w:t>
      </w:r>
    </w:p>
    <w:p>
      <w:r>
        <w:t xml:space="preserve">Die Online-Pokersteuer entsteht mit der Leistung des Spieleinsatzes.</w:t>
      </w:r>
    </w:p>
    <w:p>
      <w:r>
        <w:rPr>
          <w:color w:val="555555"/>
          <w:sz w:val="17"/>
        </w:rPr>
        <w:t xml:space="preserve">Zitiervorschlag: § 50 RennwLottG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https://recht.nulegal.eu/gesetze/RennwLottG%202021/50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