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RennwLottG 2021 — Steueranmeldung und -entrichtung</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Der Steuerschuldner hat die Virtuelle Automatensteuer für jeden Kalendermonat (Anmeldungszeitraum) anzumelden.</w:t>
      </w:r>
    </w:p>
    <w:p>
      <w:r>
        <w:t xml:space="preserve">(2) Der Steuerschuldner hat für die Virtuelle Automatensteuer bis zum 15. Tag nach Ablauf des Anmeldungszeitraums beim zuständigen Finanzamt eine eigenhändig unterschriebene Steuererklärung nach amtlich vorgeschriebenem Vordruck abzugeben, die Steuer darin selbst zu berechnen (Steueranmeldung) und die im Anmeldungszeitraum entstandene Steuer zum Fälligkeitszeitpunkt zu entrichten. Die Steueranmeldung kann auch nach amtlich vorgeschriebenem Datensatz durch Datenfernübertragung übermittelt werden, sofern der Zugang hierfür eröffnet ist. Die Virtuelle Automatensteuer ist am 15. Tag nach Ablauf des Anmeldungszeitraums fällig.</w:t>
      </w:r>
    </w:p>
    <w:p>
      <w:r>
        <w:rPr>
          <w:color w:val="555555"/>
          <w:sz w:val="17"/>
        </w:rPr>
        <w:t xml:space="preserve">Zitiervorschlag: § 41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