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RennwLottG 2021 — Strafrecht</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Wer ohne Erlaubnis einen Totalisator betreibt oder gewerbsmäßig Rennwetten abschließt oder vermittelt, wird mit Freiheitsstrafe bis zu zwei Jahren oder mit Geldstrafe bestraft.</w:t>
      </w:r>
    </w:p>
    <w:p>
      <w:r>
        <w:t xml:space="preserve">(2) Wer gewerbsmäßig zum Abschluss oder zur Vermittlung von Rennwetten auffordert oder sich erbietet oder Angebote zum Abschluss oder zur Vermittlung solcher Rennwetten entgegennimmt, wird mit Freiheitsstrafe bis zu sechs Monaten oder mit Geldstrafe bis zu 180 Tagessätzen bestraft. Unter dieses Verbot fallen nicht Aufforderungen, Erbieten und Angebote der zugelassenen Wettunternehmer sowie der Personen, deren sich die Wettunternehmer mit Erlaubnis der nach Landesrecht zuständigen Behörde zum Abschluss und zur Vermittlung von Rennwetten bedienen, soweit diese Personen bei der Abwicklung von Wettgeschäften im Auftrag des Wettunternehmers handeln.</w:t>
      </w:r>
    </w:p>
    <w:p>
      <w:r>
        <w:rPr>
          <w:color w:val="555555"/>
          <w:sz w:val="17"/>
        </w:rPr>
        <w:t xml:space="preserve">Zitiervorschlag: § 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