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RennwLottG 2021 — Steuerschuldner</w:t>
      </w:r>
    </w:p>
    <w:p>
      <w:r>
        <w:rPr>
          <w:color w:val="555555"/>
          <w:sz w:val="18"/>
        </w:rPr>
        <w:t xml:space="preserve">Rennwett- und Lotteriegesetz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Steuerschuldner ist der Veranstalter des virtuellen Automatenspiels. Veranstalter ist, wer die planmäßige Ausführung des gesamten Unternehmens selbst oder durch andere ins Werk setzt und dabei das Spielgeschehen maßgeblich gestaltet.</w:t>
      </w:r>
    </w:p>
    <w:p>
      <w:r>
        <w:rPr>
          <w:color w:val="555555"/>
          <w:sz w:val="17"/>
        </w:rPr>
        <w:t xml:space="preserve">Zitiervorschlag: § 39 RennwLottG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https://recht.nulegal.eu/gesetze/RennwLottG%202021/39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