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RennwLottG 2021 — Steuergegenstand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Im Internet angebotene Nachbildungen terrestrischer Automatenspiele (virtuelle Automatenspiele) unterliegen der Virtuellen Automatensteuer, wenn sie im Geltungsbereich dieses Gesetzes veranstaltet werden. Dies ist der Fall, wenn</w:t>
      </w:r>
    </w:p>
    <w:p>
      <w:pPr>
        <w:ind w:left="420"/>
      </w:pPr>
      <w:r>
        <w:t xml:space="preserve">1. der Veranstalter des virtuellen Automatenspiels bei Abschluss des Spielvertrages seinen Wohnsitz, gewöhnlichen Aufenthalt, Ort der Geschäftsleitung oder Sitz im Geltungsbereich dieses Gesetzes hat oder</w:t>
      </w:r>
    </w:p>
    <w:p>
      <w:pPr>
        <w:ind w:left="420"/>
      </w:pPr>
      <w:r>
        <w:t xml:space="preserve">2. der Spieler die zur Entstehung des Spielvertrages erforderlichen Handlungen im Geltungsbereich dieses Gesetzes vornimmt.</w:t>
      </w:r>
    </w:p>
    <w:p>
      <w:r>
        <w:t xml:space="preserve">Der Virtuellen Automatensteuer unterliegen nicht das terrestrische Automatenspiel sowie im Internet angebotene Nachbildungen des terrestrischen Automatenspiels, die nur an bestimmten, ortsgebundenen Eingabegeräten gespielt werden können.</w:t>
      </w:r>
    </w:p>
    <w:p>
      <w:r>
        <w:rPr>
          <w:color w:val="555555"/>
          <w:sz w:val="17"/>
        </w:rPr>
        <w:t xml:space="preserve">Zitiervorschlag: § 36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