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RennwLottG 2021 — Aufzeichnungspflichten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Der Steuerschuldner (§ 30) ist verpflichtet, Aufzeichnungen zur Ermittlung der Steuer und zu den Grundlagen ihrer Berechnung sowie zum Nachweis der Steuerbefreiung (§ 28) zu führen.</w:t>
      </w:r>
    </w:p>
    <w:p>
      <w:r>
        <w:t xml:space="preserve">(2) Aus den Aufzeichnungen müssen insbesondere zu ersehen sein:</w:t>
      </w:r>
    </w:p>
    <w:p>
      <w:pPr>
        <w:ind w:left="420"/>
      </w:pPr>
      <w:r>
        <w:t xml:space="preserve">1. Beschreibung der öffentlichen Lotterie oder Ausspielung,</w:t>
      </w:r>
    </w:p>
    <w:p>
      <w:pPr>
        <w:ind w:left="420"/>
      </w:pPr>
      <w:r>
        <w:t xml:space="preserve">2. geleistetes Teilnahmeentgelt für die jeweilige öffentliche Lotterie oder Ausspielung,</w:t>
      </w:r>
    </w:p>
    <w:p>
      <w:pPr>
        <w:ind w:left="420"/>
      </w:pPr>
      <w:r>
        <w:t xml:space="preserve">3. in den Fällen des § 26 Absatz 1 Satz 2 Nummer 2 Name und Anschrift des Spielers,</w:t>
      </w:r>
    </w:p>
    <w:p>
      <w:pPr>
        <w:ind w:left="420"/>
      </w:pPr>
      <w:r>
        <w:t xml:space="preserve">4. Voraussetzungen für die Minderung der Bemessungsgrundlage (§ 27 Absatz 3),</w:t>
      </w:r>
    </w:p>
    <w:p>
      <w:pPr>
        <w:ind w:left="420"/>
      </w:pPr>
      <w:r>
        <w:t xml:space="preserve">5. Zeitpunkt der Steuerentstehung,</w:t>
      </w:r>
    </w:p>
    <w:p>
      <w:pPr>
        <w:ind w:left="420"/>
      </w:pPr>
      <w:r>
        <w:t xml:space="preserve">6. Höhe der Steuer und</w:t>
      </w:r>
    </w:p>
    <w:p>
      <w:pPr>
        <w:ind w:left="420"/>
      </w:pPr>
      <w:r>
        <w:t xml:space="preserve">7. in den Fällen des § 28 Nummer 2 die Verwendung des Reinertrags.</w:t>
      </w:r>
    </w:p>
    <w:p>
      <w:r>
        <w:rPr>
          <w:color w:val="555555"/>
          <w:sz w:val="17"/>
        </w:rPr>
        <w:t xml:space="preserve">Zitiervorschlag: § 33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