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RennwLottG 2021 — Lotteriesteuerbefreiung</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Von der Lotteriesteuer befreit sind von den zuständigen inländischen Behörden erlaubte öffentliche Lotterien und Ausspielungen,</w:t>
      </w:r>
    </w:p>
    <w:p>
      <w:pPr>
        <w:ind w:left="420"/>
      </w:pPr>
      <w:r>
        <w:t xml:space="preserve">1. bei denen der Gesamtbetrag der geleisteten Teilnahmeentgelte den Wert von 1 000 Euro nicht übersteigt oder</w:t>
      </w:r>
    </w:p>
    <w:p>
      <w:pPr>
        <w:ind w:left="420"/>
      </w:pPr>
      <w:r>
        <w:t xml:space="preserve">2. bei denen der Gesamtbetrag der geleisteten Teilnahmeentgelte einer öffentlichen Lotterie oder Ausspielung zu ausschließlich gemeinnützigen, mildtätigen oder kirchlichen Zwecken den Wert von 40 000 Euro nicht übersteigt und der Reinertrag für die genannten Zwecke verwandt wird.</w:t>
      </w:r>
    </w:p>
    <w:p>
      <w:r>
        <w:rPr>
          <w:color w:val="555555"/>
          <w:sz w:val="17"/>
        </w:rPr>
        <w:t xml:space="preserve">Zitiervorschlag: § 28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