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RennwLottG 2021 — Bemessungsgrundlage</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Die Lotteriesteuer bemisst sich nach dem geleisteten Teilnahmeentgelt abzüglich der Lotteriesteuer. Geleistetes Teilnahmeentgelt ist der vom Spieler zur Teilnahme an der öffentlichen Lotterie oder Ausspielung geleistete Lospreis zuzüglich möglicher vom Veranstalter festgelegter Gebühren. Hält ein Vermittler von Losen einer Klassenlotterie ein nicht verkauftes oder zurückgegebenes Los mit eigener Gewinnberechtigung vor, gilt er für die Dauer der Vorhaltung als Spieler. In den Fällen des Satzes 3 gilt der Verkaufspreis des Loses für die erste Klasse beziehungsweise für ein Erneuerungslos für die nachfolgende Klasse als geleistetes Teilnahmeentgelt.</w:t>
      </w:r>
    </w:p>
    <w:p>
      <w:r>
        <w:t xml:space="preserve">(2) Wird die öffentliche Lotterie oder Ausspielung mit einer sonstigen Leistung kombiniert und leistet der Spieler hierfür ein ungeteiltes Gesamtentgelt, gilt mindestens der Wert der vorgehaltenen Gewinne als geleistetes Teilnahmeentgelt im Sinne des Absatz 1 Satz 1.</w:t>
      </w:r>
    </w:p>
    <w:p>
      <w:r>
        <w:t xml:space="preserve">(3) Ein Teilnahmeentgelt, das zurückgezahlt oder verrechnet wird, weil die Lotterie oder Ausspielung für ungültig erklärt wird oder nicht stattfindet, mindert die Bemessungsgrundlage in dem Anmeldungszeitraum (§ 32), in dem die Rückzahlung oder Verrechnung vorgenommen wird.</w:t>
      </w:r>
    </w:p>
    <w:p>
      <w:r>
        <w:t xml:space="preserve">(4) Werden vom Spieler Gebühren oder Entgelte für sonstige Leistungen von Lotterieeinnehmern, Spielvermittlern oder sonstigen Dritten erhoben, die nicht vom Veranstalter festgelegt wurden, aber im Zusammenhang mit der Teilnahme stehen, sind diese dem geleisteten Teilnahmeentgelt hinzuzurechnen, wenn sie von der inländischen Behörde nicht genehmigt wurden oder soweit sie die genehmigte Höhe übersteigen. Das gilt nicht in den Fällen, in denen diese Gebühren oder Entgelte aufgrund eines anderen Gesetzes allgemein und der Höhe nach erlaubt sind.</w:t>
      </w:r>
    </w:p>
    <w:p>
      <w:r>
        <w:rPr>
          <w:color w:val="555555"/>
          <w:sz w:val="17"/>
        </w:rPr>
        <w:t xml:space="preserve">Zitiervorschlag: § 27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