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RennwLottG 2021 — Steuergegenstand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Lotterien und Ausspielungen unterliegen der Lotteriesteuer, wenn sie im Geltungsbereich dieses Gesetzes öffentlich veranstaltet werden. Dies ist der Fall, wenn</w:t>
      </w:r>
    </w:p>
    <w:p>
      <w:pPr>
        <w:ind w:left="420"/>
      </w:pPr>
      <w:r>
        <w:t xml:space="preserve">1. der Veranstalter der Lotterie oder Ausspielung bei Abschluss des Spielvertrages seinen Wohnsitz, gewöhnlichen Aufenthalt, Ort der Geschäftsleitung oder Sitz im Geltungsbereich dieses Gesetzes hat oder</w:t>
      </w:r>
    </w:p>
    <w:p>
      <w:pPr>
        <w:ind w:left="420"/>
      </w:pPr>
      <w:r>
        <w:t xml:space="preserve">2. der Spieler die zur Entstehung des Spielvertrages mit einem im Ausland ansässigen Veranstalter erforderlichen Handlungen im Geltungsbereich dieses Gesetzes vornimmt.</w:t>
      </w:r>
    </w:p>
    <w:p>
      <w:r>
        <w:t xml:space="preserve">(2) Als Lotterie oder Ausspielung im Sinne des Absatzes 1 gilt auch eine angehängte Lotterie (Zweitlotterie).</w:t>
      </w:r>
    </w:p>
    <w:p>
      <w:r>
        <w:rPr>
          <w:color w:val="555555"/>
          <w:sz w:val="17"/>
        </w:rPr>
        <w:t xml:space="preserve">Zitiervorschlag: § 26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