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RennwLottG 2021 — Steuersatz</w:t>
      </w:r>
    </w:p>
    <w:p>
      <w:r>
        <w:rPr>
          <w:color w:val="555555"/>
          <w:sz w:val="18"/>
        </w:rPr>
        <w:t xml:space="preserve">Rennwett- und Lotteriegesetz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Die Sportwettensteuer beträgt 5,3 Prozent der Bemessungsgrundlage nach § 17.</w:t>
      </w:r>
    </w:p>
    <w:p>
      <w:r>
        <w:rPr>
          <w:color w:val="555555"/>
          <w:sz w:val="17"/>
        </w:rPr>
        <w:t xml:space="preserve">Zitiervorschlag: § 18 RennwLottG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https://recht.nulegal.eu/gesetze/RennwLottG%202021/18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