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RennwLottG 2021 — Bemessungsgrundlage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Sportwettensteuer bemisst sich nach dem geleisteten Wetteinsatz abzüglich der Sportwettensteuer. Der geleistete Wetteinsatz umfasst sämtliche Aufwendungen des Wettenden zur Teilnahme an der Wette nach § 16.</w:t>
      </w:r>
    </w:p>
    <w:p>
      <w:r>
        <w:t xml:space="preserve">(2) Ein Wetteinsatz, der zurückgezahlt oder verrechnet wird, weil</w:t>
      </w:r>
    </w:p>
    <w:p>
      <w:pPr>
        <w:ind w:left="420"/>
      </w:pPr>
      <w:r>
        <w:t xml:space="preserve">1. das Ergebnis des Sportereignisses für ungültig erklärt wird,</w:t>
      </w:r>
    </w:p>
    <w:p>
      <w:pPr>
        <w:ind w:left="420"/>
      </w:pPr>
      <w:r>
        <w:t xml:space="preserve">2. das Sportereignis, für das die Sportwette abgeschlossen ist, nicht stattfindet oder</w:t>
      </w:r>
    </w:p>
    <w:p>
      <w:pPr>
        <w:ind w:left="420"/>
      </w:pPr>
      <w:r>
        <w:t xml:space="preserve">3. ein Teilnehmer, auf den sich die Sportwette bezieht, an dem Sportereignis nicht teilnimmt,</w:t>
      </w:r>
    </w:p>
    <w:p>
      <w:r>
        <w:t xml:space="preserve">mindert die Bemessungsgrundlage in dem Anmeldungszeitraum (§ 21), in dem die Rückzahlung oder Verrechnung vorgenommen wird.</w:t>
      </w:r>
    </w:p>
    <w:p>
      <w:r>
        <w:rPr>
          <w:color w:val="555555"/>
          <w:sz w:val="17"/>
        </w:rPr>
        <w:t xml:space="preserve">Zitiervorschlag: § 17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