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 RennwLottG 2021 — Steuergegenstand</w:t>
      </w:r>
    </w:p>
    <w:p>
      <w:r>
        <w:rPr>
          <w:color w:val="555555"/>
          <w:sz w:val="18"/>
        </w:rPr>
        <w:t xml:space="preserve">Rennwett- und Lotteriegesetz</w:t>
      </w:r>
    </w:p>
    <w:p>
      <w:r>
        <w:rPr>
          <w:color w:val="555555"/>
          <w:sz w:val="18"/>
        </w:rPr>
        <w:t xml:space="preserve">Stand: 01.07.2021 (konsolidierte Textfassung, kein amtliches Inkrafttretensdatum)</w:t>
      </w:r>
    </w:p>
    <w:p>
      <w:r>
        <w:t xml:space="preserve">Wetten aus Anlass von Sportereignissen, die nicht als Rennwetten nach den §§ 8 bis 15 besteuert werden (Sportwetten), unterliegen der Sportwettensteuer, wenn die Sportwette im Geltungsbereich dieses Gesetzes veranstaltet wird. Dies ist der Fall, wenn</w:t>
      </w:r>
    </w:p>
    <w:p>
      <w:pPr>
        <w:ind w:left="420"/>
      </w:pPr>
      <w:r>
        <w:t xml:space="preserve">1. der Veranstalter der Sportwette bei Abschluss des Wettvertrages seinen Wohnsitz, gewöhnlichen Aufenthalt, Ort der Geschäftsleitung oder Sitz im Geltungsbereich dieses Gesetzes hat oder</w:t>
      </w:r>
    </w:p>
    <w:p>
      <w:pPr>
        <w:ind w:left="420"/>
      </w:pPr>
      <w:r>
        <w:t xml:space="preserve">2. der Wettende die zur Entstehung des Wettvertrages erforderlichen Handlungen im Geltungsbereich dieses Gesetzes vornimmt.</w:t>
      </w:r>
    </w:p>
    <w:p>
      <w:r>
        <w:rPr>
          <w:color w:val="555555"/>
          <w:sz w:val="17"/>
        </w:rPr>
        <w:t xml:space="preserve">Zitiervorschlag: § 16 RennwLottG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https://recht.nulegal.eu/gesetze/RennwLottG%202021/16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