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RennwLottG 2021 — Steuerschuldner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Steuerschuldner der Totalisatorsteuer ist der im Inland ansässige Betreiber eines Totalisators.</w:t>
      </w:r>
    </w:p>
    <w:p>
      <w:r>
        <w:t xml:space="preserve">(2) Steuerschuldner der Buchmachersteuer ist die in § 8 Absatz 2 Satz 1 genannte Person, die eine aus Anlass öffentlicher Pferderennen und anderer öffentlicher Leistungsprüfungen für Pferde abgeschlossene Wette hält.</w:t>
      </w:r>
    </w:p>
    <w:p>
      <w:r>
        <w:rPr>
          <w:color w:val="555555"/>
          <w:sz w:val="17"/>
        </w:rPr>
        <w:t xml:space="preserve">Zitiervorschlag: § 11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