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ReifKennzV 2021 — Anwendungsbereich</w:t>
      </w:r>
    </w:p>
    <w:p>
      <w:r>
        <w:rPr>
          <w:color w:val="555555"/>
          <w:sz w:val="18"/>
        </w:rPr>
        <w:t xml:space="preserve">Reifenkennzeichnungsverordnung</w:t>
      </w:r>
    </w:p>
    <w:p>
      <w:r>
        <w:rPr>
          <w:color w:val="555555"/>
          <w:sz w:val="18"/>
        </w:rPr>
        <w:t xml:space="preserve">Stand: 13.07.2021 (konsolidierte Textfassung, kein amtliches Inkrafttretensdatum)</w:t>
      </w:r>
    </w:p>
    <w:p>
      <w:r>
        <w:t xml:space="preserve">Diese Verordnung dient der Durchführung der Verordnung (EU) 2020/740 des Europäischen Parlaments und des Rates vom 25. Mai 2020 über die Kennzeichnung von Reifen in Bezug auf die Kraftstoffeffizienz und andere Parameter, zur Änderung der Verordnung (EU) 2017/1369 und zur Aufhebung der Verordnung (EG) 1222/2009 (ABl. L 177 vom 5.6.2020, S. 1; L 241 vom 27.7.2020, S. 46).</w:t>
      </w:r>
    </w:p>
    <w:p>
      <w:r>
        <w:rPr>
          <w:color w:val="555555"/>
          <w:sz w:val="17"/>
        </w:rPr>
        <w:t xml:space="preserve">Zitiervorschlag: § 1 ReifKennzV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https://recht.nulegal.eu/gesetze/ReifKennzV%202021/1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