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RehaErstV</w:t>
      </w:r>
    </w:p>
    <w:p>
      <w:r>
        <w:rPr>
          <w:color w:val="555555"/>
          <w:sz w:val="18"/>
        </w:rPr>
        <w:t xml:space="preserve">Reha-Pauschalerstattungsverordnung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226 Abs. 2 des Sechsten Buches Sozialgesetzbuch, der durch Artikel 1 Nr. 43 des Gesetzes vom 25. Juli 1991 (BGBl. I S. 1606) neu gefaßt worden ist, verordnet der Bundesminister für Arbeit und Sozialordnung im Einvernehmen mit dem Bundesminister der Finanzen:</w:t>
      </w:r>
    </w:p>
    <w:p>
      <w:r>
        <w:rPr>
          <w:color w:val="555555"/>
          <w:sz w:val="17"/>
        </w:rPr>
        <w:t xml:space="preserve">Zitiervorschlag: Eingangsformel RehaErstV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https://recht.nulegal.eu/gesetze/RehaErstV/eingangsformel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