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RehaErstV — Inkrafttreten</w:t>
      </w:r>
    </w:p>
    <w:p>
      <w:r>
        <w:rPr>
          <w:color w:val="555555"/>
          <w:sz w:val="18"/>
        </w:rPr>
        <w:t xml:space="preserve">Reha-Pauschalerstattungsverordnung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1992 in Kraft.</w:t>
      </w:r>
    </w:p>
    <w:p>
      <w:r>
        <w:rPr>
          <w:color w:val="555555"/>
          <w:sz w:val="17"/>
        </w:rPr>
        <w:t xml:space="preserve">Zitiervorschlag: § 3 RehaErstV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https://recht.nulegal.eu/gesetze/RehaErstV/3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