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RegisterVO (Nordrhein-Westfalen) — Abrufverfahren</w:t>
      </w:r>
    </w:p>
    <w:p>
      <w:r>
        <w:rPr>
          <w:color w:val="555555"/>
          <w:sz w:val="18"/>
        </w:rPr>
        <w:t xml:space="preserve">Registerverordnung Amtsgerichte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automatisierte Abrufverfahren erfolgt über das Registerportal der Länder als elektronischem Informations- und Bekanntmachungssystem (www.handelsregister.de).</w:t>
      </w:r>
    </w:p>
    <w:p>
      <w:r>
        <w:rPr>
          <w:color w:val="555555"/>
          <w:sz w:val="17"/>
        </w:rPr>
        <w:t xml:space="preserve">Zitiervorschlag: § 7 RegisterVO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https://recht.nulegal.eu/gesetze/RegisterVO/7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