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RegZensErpG — Verarbeitung von Daten aus dem Zensus 2022 und dem Mikrozensus für Zwecke europäischer Bevölkerungsstatistiken einschließlich Zensus</w:t>
      </w:r>
    </w:p>
    <w:p>
      <w:r>
        <w:rPr>
          <w:color w:val="555555"/>
          <w:sz w:val="18"/>
        </w:rPr>
        <w:t xml:space="preserve">Registerzensuserprobungsgesetz</w:t>
      </w:r>
    </w:p>
    <w:p>
      <w:r>
        <w:rPr>
          <w:color w:val="555555"/>
          <w:sz w:val="18"/>
        </w:rPr>
        <w:t xml:space="preserve">Stand: 23.04.2026 (konsolidierte Textfassung, kein amtliches Inkrafttretensdatum)</w:t>
      </w:r>
    </w:p>
    <w:p>
      <w:r>
        <w:t xml:space="preserve">(1) Für Zwecke europäischer Bevölkerungsstatistiken einschließlich Zensus speichern die statistischen Ämter der Länder jeweils für ihren Zuständigkeitsbereich die Daten der Haushaltsstichprobe nach § 11 Absatz 1 Satz 2 Nummer 2 in Verbindung mit § 13 Absatz 1 Nummer 2 bis 5, 7 und 9 sowie Nummer 16 bis 18 und Absatz 2 des Zensusgesetzes 2022.</w:t>
      </w:r>
    </w:p>
    <w:p>
      <w:r>
        <w:t xml:space="preserve">(2) Die Daten zu den Merkmalen nach § 13 Absatz 2 des Zensusgesetzes 2022 werden getrennt von den Daten zu den Merkmalen nach § 13 Absatz 1 Nummer 2 bis 5, 7 und 9 sowie Nummer 16 bis 18 des Zensusgesetzes 2022 gespeichert und gesondert gesichert aufbewahrt. Sie sind zu löschen, wenn sie zur Erfüllung der Aufgaben nach Absatz 1 nicht mehr erforderlich sind, spätestens jedoch sechs Jahre nach dem Zensusstichtag nach § 1 Absatz 1 des Zensusgesetzes 2022.</w:t>
      </w:r>
    </w:p>
    <w:p>
      <w:r>
        <w:t xml:space="preserve">(3) Zur Aktualisierung und Ergänzung der Daten zu den Merkmalen nach § 13 Absatz 1 Nummer 7 und 16 bis 18 des Zensusgesetzes 2022 speichern die statistischen Ämter der Länder jeweils für ihren Zuständigkeitsbereich nach Abschluss der Aufbereitung des jeweiligen Mikrozensus die Daten nach:</w:t>
      </w:r>
    </w:p>
    <w:p>
      <w:pPr>
        <w:ind w:left="420"/>
      </w:pPr>
      <w:r>
        <w:t xml:space="preserve">1. § 6 Absatz 1 Nummer 1 Buchstabe a, Nummer 3, Nummer 4 Buchstabe a Doppelbuchstabe aa, cc, ee und ff sowie Nummer 7 Buchstabe a bis c und Nummer 8 des Mikrozensusgesetzes,</w:t>
      </w:r>
    </w:p>
    <w:p>
      <w:pPr>
        <w:ind w:left="420"/>
      </w:pPr>
      <w:r>
        <w:t xml:space="preserve">2. § 11 Absatz 1 Nummer 1 und 3 des Mikrozensusgesetzes.</w:t>
      </w:r>
    </w:p>
    <w:p>
      <w:r>
        <w:t xml:space="preserve">Die Daten zu den Merkmalen nach Nummer 2 sind frühestmöglich, spätestens jedoch sechs Jahre nach Abschluss der Aufbereitung des jeweiligen Mikrozensus zu löschen.</w:t>
      </w:r>
    </w:p>
    <w:p>
      <w:r>
        <w:rPr>
          <w:color w:val="555555"/>
          <w:sz w:val="17"/>
        </w:rPr>
        <w:t xml:space="preserve">Zitiervorschlag: § 16 RegZensErpG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https://recht.nulegal.eu/gesetze/RegZensErpG/16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