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RegZensErpG — Löschung</w:t>
      </w:r>
    </w:p>
    <w:p>
      <w:r>
        <w:rPr>
          <w:color w:val="555555"/>
          <w:sz w:val="18"/>
        </w:rPr>
        <w:t xml:space="preserve">Registerzensuserprobungsgesetz</w:t>
      </w:r>
    </w:p>
    <w:p>
      <w:r>
        <w:rPr>
          <w:color w:val="555555"/>
          <w:sz w:val="18"/>
        </w:rPr>
        <w:t xml:space="preserve">Stand: 23.04.2026 (konsolidierte Textfassung, kein amtliches Inkrafttretensdatum)</w:t>
      </w:r>
    </w:p>
    <w:p>
      <w:r>
        <w:t xml:space="preserve">Die Daten zu den Hilfsmerkmalen nach § 8 Absatz 2 Satz 1 und § 9 Absatz 2 Satz 1 sind nach der Zusammenführung nach § 10 Satz 1 zu löschen, spätestens jedoch drei Jahre nach Ablauf des Kalenderjahres, in dem die Daten an das Statistische Bundesamt übermittelt wurden. Die Daten zu den Erhebungsmerkmalen nach § 8 Absatz 2 Satz 1 und § 9 Absatz 2 Satz 1 sind nach der Zusammenführung und Verarbeitung nach § 10 Satz 1 zu löschen, spätestens jedoch sechs Jahre nach Ablauf des Kalenderjahres, in dem die Daten an das Statistische Bundesamt übermittelt wurden.</w:t>
      </w:r>
    </w:p>
    <w:p>
      <w:r>
        <w:rPr>
          <w:color w:val="555555"/>
          <w:sz w:val="17"/>
        </w:rPr>
        <w:t xml:space="preserve">Zitiervorschlag: § 11 RegZensErpG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https://recht.nulegal.eu/gesetze/RegZensErpG/11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