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Inhaltsübersicht RegMoG</w:t>
      </w:r>
    </w:p>
    <w:p>
      <w:r>
        <w:rPr>
          <w:color w:val="555555"/>
          <w:sz w:val="18"/>
        </w:rPr>
        <w:t xml:space="preserve">Registermodernisierungsgesetz</w:t>
      </w:r>
    </w:p>
    <w:p>
      <w:r>
        <w:rPr>
          <w:color w:val="555555"/>
          <w:sz w:val="18"/>
        </w:rPr>
        <w:t xml:space="preserve">Stand: 08.04.2021 (konsolidierte Textfassung, kein amtliches Inkrafttretensdatum)</w:t>
      </w:r>
    </w:p>
    <w:p>
      <w:r>
        <w:rPr>
          <w:rFonts w:ascii="Courier New" w:hAnsi="Courier New"/>
          <w:sz w:val="17"/>
        </w:rPr>
        <w:t xml:space="preserve">Artikel 1    Gesetz zur Einführung und Verwendung einer Identifikationsnummer in der öffentlichen Verwaltung (Identifikationsnummerngesetz – IDNrG)</w:t>
      </w:r>
    </w:p>
    <w:p>
      <w:r>
        <w:rPr>
          <w:rFonts w:ascii="Courier New" w:hAnsi="Courier New"/>
          <w:sz w:val="17"/>
        </w:rPr>
        <w:t xml:space="preserve">Artikel 2    Änderung des Onlinezugangsgesetzes</w:t>
      </w:r>
    </w:p>
    <w:p>
      <w:r>
        <w:rPr>
          <w:rFonts w:ascii="Courier New" w:hAnsi="Courier New"/>
          <w:sz w:val="17"/>
        </w:rPr>
        <w:t xml:space="preserve">Artikel 3    Änderung der Abgabenordnung</w:t>
      </w:r>
    </w:p>
    <w:p>
      <w:r>
        <w:rPr>
          <w:rFonts w:ascii="Courier New" w:hAnsi="Courier New"/>
          <w:sz w:val="17"/>
        </w:rPr>
        <w:t xml:space="preserve">Artikel 4    Änderung des Bundesmeldegesetzes</w:t>
      </w:r>
    </w:p>
    <w:p>
      <w:r>
        <w:rPr>
          <w:rFonts w:ascii="Courier New" w:hAnsi="Courier New"/>
          <w:sz w:val="17"/>
        </w:rPr>
        <w:t xml:space="preserve">Artikel 5    Änderung des Personenstandsgesetzes</w:t>
      </w:r>
    </w:p>
    <w:p>
      <w:r>
        <w:rPr>
          <w:rFonts w:ascii="Courier New" w:hAnsi="Courier New"/>
          <w:sz w:val="17"/>
        </w:rPr>
        <w:t xml:space="preserve">Artikel 6    Änderung des AZR-Gesetzes</w:t>
      </w:r>
    </w:p>
    <w:p>
      <w:r>
        <w:rPr>
          <w:rFonts w:ascii="Courier New" w:hAnsi="Courier New"/>
          <w:sz w:val="17"/>
        </w:rPr>
        <w:t xml:space="preserve">Artikel 7    Änderung des Passgesetzes</w:t>
      </w:r>
    </w:p>
    <w:p>
      <w:r>
        <w:rPr>
          <w:rFonts w:ascii="Courier New" w:hAnsi="Courier New"/>
          <w:sz w:val="17"/>
        </w:rPr>
        <w:t xml:space="preserve">Artikel 8    Änderung des Personalausweisgesetzes</w:t>
      </w:r>
    </w:p>
    <w:p>
      <w:r>
        <w:rPr>
          <w:rFonts w:ascii="Courier New" w:hAnsi="Courier New"/>
          <w:sz w:val="17"/>
        </w:rPr>
        <w:t xml:space="preserve">Artikel 9    Änderung des eID-Karte-Gesetzes</w:t>
      </w:r>
    </w:p>
    <w:p>
      <w:r>
        <w:rPr>
          <w:rFonts w:ascii="Courier New" w:hAnsi="Courier New"/>
          <w:sz w:val="17"/>
        </w:rPr>
        <w:t xml:space="preserve">Artikel 10    Änderung des Staatsangehörigkeitsgesetzes</w:t>
      </w:r>
    </w:p>
    <w:p>
      <w:r>
        <w:rPr>
          <w:rFonts w:ascii="Courier New" w:hAnsi="Courier New"/>
          <w:sz w:val="17"/>
        </w:rPr>
        <w:t xml:space="preserve">Artikel 11    Änderung des Fünften Buches Sozialgesetzbuch</w:t>
      </w:r>
    </w:p>
    <w:p>
      <w:r>
        <w:rPr>
          <w:rFonts w:ascii="Courier New" w:hAnsi="Courier New"/>
          <w:sz w:val="17"/>
        </w:rPr>
        <w:t xml:space="preserve">Artikel 12    Änderung des Sechsten Buches Sozialgesetzbuch</w:t>
      </w:r>
    </w:p>
    <w:p>
      <w:r>
        <w:rPr>
          <w:rFonts w:ascii="Courier New" w:hAnsi="Courier New"/>
          <w:sz w:val="17"/>
        </w:rPr>
        <w:t xml:space="preserve">Artikel 13    Änderung des Siebten Buches Sozialgesetzbuch</w:t>
      </w:r>
    </w:p>
    <w:p>
      <w:r>
        <w:rPr>
          <w:rFonts w:ascii="Courier New" w:hAnsi="Courier New"/>
          <w:sz w:val="17"/>
        </w:rPr>
        <w:t xml:space="preserve">Artikel 14    Änderung des Zehnten Buches Sozialgesetzbuch</w:t>
      </w:r>
    </w:p>
    <w:p>
      <w:r>
        <w:rPr>
          <w:rFonts w:ascii="Courier New" w:hAnsi="Courier New"/>
          <w:sz w:val="17"/>
        </w:rPr>
        <w:t xml:space="preserve">Artikel 15    Änderung des Elften Buches Sozialgesetzbuch</w:t>
      </w:r>
    </w:p>
    <w:p>
      <w:r>
        <w:rPr>
          <w:rFonts w:ascii="Courier New" w:hAnsi="Courier New"/>
          <w:sz w:val="17"/>
        </w:rPr>
        <w:t xml:space="preserve">Artikel 16    Änderung des Berufsbildungsgesetzes</w:t>
      </w:r>
    </w:p>
    <w:p>
      <w:r>
        <w:rPr>
          <w:rFonts w:ascii="Courier New" w:hAnsi="Courier New"/>
          <w:sz w:val="17"/>
        </w:rPr>
        <w:t xml:space="preserve">Artikel 17    Änderung des Gesetzes zur vorläufigen Regelung des Rechts der Industrie- und Handelskammern</w:t>
      </w:r>
    </w:p>
    <w:p>
      <w:r>
        <w:rPr>
          <w:rFonts w:ascii="Courier New" w:hAnsi="Courier New"/>
          <w:sz w:val="17"/>
        </w:rPr>
        <w:t xml:space="preserve">Artikel 18    Änderung der Handwerksordnung</w:t>
      </w:r>
    </w:p>
    <w:p>
      <w:r>
        <w:rPr>
          <w:rFonts w:ascii="Courier New" w:hAnsi="Courier New"/>
          <w:sz w:val="17"/>
        </w:rPr>
        <w:t xml:space="preserve">Artikel 19    Änderung der Personenstandsverordnung</w:t>
      </w:r>
    </w:p>
    <w:p>
      <w:r>
        <w:rPr>
          <w:rFonts w:ascii="Courier New" w:hAnsi="Courier New"/>
          <w:sz w:val="17"/>
        </w:rPr>
        <w:t xml:space="preserve">Artikel 20    Änderung der AZRG-Durchführungsverordnung</w:t>
      </w:r>
    </w:p>
    <w:p>
      <w:r>
        <w:rPr>
          <w:rFonts w:ascii="Courier New" w:hAnsi="Courier New"/>
          <w:sz w:val="17"/>
        </w:rPr>
        <w:t xml:space="preserve">Artikel 20a    Änderung der Aufenthaltsverordnung</w:t>
      </w:r>
    </w:p>
    <w:p>
      <w:r>
        <w:rPr>
          <w:rFonts w:ascii="Courier New" w:hAnsi="Courier New"/>
          <w:sz w:val="17"/>
        </w:rPr>
        <w:t xml:space="preserve">Artikel 20b    Änderung des Konsulargesetzes</w:t>
      </w:r>
    </w:p>
    <w:p>
      <w:r>
        <w:rPr>
          <w:rFonts w:ascii="Courier New" w:hAnsi="Courier New"/>
          <w:sz w:val="17"/>
        </w:rPr>
        <w:t xml:space="preserve">Artikel 20c    Änderung des Asylbewerberleistungsgesetzes</w:t>
      </w:r>
    </w:p>
    <w:p>
      <w:r>
        <w:rPr>
          <w:rFonts w:ascii="Courier New" w:hAnsi="Courier New"/>
          <w:sz w:val="17"/>
        </w:rPr>
        <w:t xml:space="preserve">Artikel 21    Übergangsregelung zur Verwendung der Identifikationsnummer nach § 139b der Abgabenordnung für die Pilotierung des Datencockpits</w:t>
      </w:r>
    </w:p>
    <w:p>
      <w:r>
        <w:rPr>
          <w:rFonts w:ascii="Courier New" w:hAnsi="Courier New"/>
          <w:sz w:val="17"/>
        </w:rPr>
        <w:t xml:space="preserve">Artikel 22    Inkrafttreten</w:t>
      </w:r>
    </w:p>
    <w:p>
      <w:r>
        <w:rPr>
          <w:color w:val="555555"/>
          <w:sz w:val="17"/>
        </w:rPr>
        <w:t xml:space="preserve">Zitiervorschlag: Inhaltsübersicht RegMoG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https://recht.nulegal.eu/gesetze/RegMoG/inhaltsuebersicht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