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RegMoG — Inkrafttreten</w:t>
      </w:r>
    </w:p>
    <w:p>
      <w:r>
        <w:rPr>
          <w:color w:val="555555"/>
          <w:sz w:val="18"/>
        </w:rPr>
        <w:t xml:space="preserve">Registermodernisierungsgesetz</w:t>
      </w:r>
    </w:p>
    <w:p>
      <w:r>
        <w:rPr>
          <w:color w:val="555555"/>
          <w:sz w:val="18"/>
        </w:rPr>
        <w:t xml:space="preserve">Stand: 08.04.2021 (konsolidierte Textfassung, kein amtliches Inkrafttretensdatum)</w:t>
      </w:r>
    </w:p>
    <w:p>
      <w:r>
        <w:t xml:space="preserve">Artikel 1 § 12, Artikel 2 § 11, Artikel 5 Nummer 2, Artikel 7 Nummer 3, Artikel 8 Nummer 3, Artikel 19 Nummer 2 Buchstabe b und Artikel 21 treten am Tag nach der Verkündung in Kraft. Im Übrigen treten die Artikel 1 und 2 an dem Tag in Kraft, an dem das Bundesministerium des Innern, für Bau und Heimat im Bundesgesetzblatt bekannt gibt, dass die technischen Voraussetzungen für den Betrieb nach dem Identifikationsnummerngesetz gegeben sind. Die Artikel 3, Artikel 4 Nummer 1 bis 4, Nummer 5 Buchstabe b, Nummer 6 und 7, Artikel 5 Nummer 1 sowie Artikel 6 bis 20 treten jeweils an dem Tag in Kraft, an dem das Bundesministerium des Innern, für Bau und Heimat im Bundesgesetzblatt jeweils bekannt gibt, dass die technischen Voraussetzungen für die Verarbeitung der Identifikationsnummer nach § 139b der Abgabenordnung nach den jeweils geänderten Gesetzen vorliegen. Artikel 4 Nummer 5 Buchstabe a tritt am 1. Mai 2021 in Kraft.</w:t>
      </w:r>
    </w:p>
    <w:p>
      <w:r>
        <w:rPr>
          <w:color w:val="555555"/>
          <w:sz w:val="17"/>
        </w:rPr>
        <w:t xml:space="preserve">Zitiervorschlag: Art 22 RegMoG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https://recht.nulegal.eu/gesetze/RegMoG/22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