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RegG — (zu § 8 Absatz 6) Nachweis über die Verwendung der zusätzlichen Regionalisierungsmittel nach § 8 Absatz 2</w:t>
      </w:r>
    </w:p>
    <w:p>
      <w:r>
        <w:rPr>
          <w:color w:val="555555"/>
          <w:sz w:val="18"/>
        </w:rPr>
        <w:t xml:space="preserve">Regionalisierungsgesetz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(Fundstelle: BGBl. I 2022, 815; bzgl. der einzelnen Änderungen vgl. Fußnote)</w:t>
      </w:r>
    </w:p>
    <w:p>
      <w:r>
        <w:rPr>
          <w:rFonts w:ascii="Courier New" w:hAnsi="Courier New"/>
          <w:sz w:val="17"/>
        </w:rPr>
        <w:t xml:space="preserve">Nachweis über die Verwendung der zusätzlichen Regionalisierungsmittel</w:t>
      </w:r>
    </w:p>
    <w:p>
      <w:r>
        <w:rPr>
          <w:rFonts w:ascii="Courier New" w:hAnsi="Courier New"/>
          <w:sz w:val="17"/>
        </w:rPr>
        <w:t xml:space="preserve">für das Bundesland    zum Stichtag 30. Juni 2024</w:t>
      </w:r>
    </w:p>
    <w:p>
      <w:r>
        <w:rPr>
          <w:rFonts w:ascii="Courier New" w:hAnsi="Courier New"/>
          <w:sz w:val="17"/>
        </w:rPr>
        <w:t xml:space="preserve">    Bereich    Landes- haushalt (Kapitel/Titel)    Verwendungszweck    Betrag (in EUR)</w:t>
      </w:r>
    </w:p>
    <w:p>
      <w:r>
        <w:rPr>
          <w:rFonts w:ascii="Courier New" w:hAnsi="Courier New"/>
          <w:sz w:val="17"/>
        </w:rPr>
        <w:t xml:space="preserve">1    1.1    Verfügbare Mittel        Zuweisung nach § 8 RegG    </w:t>
      </w:r>
    </w:p>
    <w:p>
      <w:r>
        <w:rPr>
          <w:rFonts w:ascii="Courier New" w:hAnsi="Courier New"/>
          <w:sz w:val="17"/>
        </w:rPr>
        <w:t xml:space="preserve">1.2        Minderung/Aufstockung aufgrund des Länderausgleichs    </w:t>
      </w:r>
    </w:p>
    <w:p>
      <w:r>
        <w:rPr>
          <w:rFonts w:ascii="Courier New" w:hAnsi="Courier New"/>
          <w:sz w:val="17"/>
        </w:rPr>
        <w:t xml:space="preserve">1.3        verfügbare Mittel gesamt (Summe 1.1 und 1.2)    </w:t>
      </w:r>
    </w:p>
    <w:p>
      <w:r>
        <w:rPr>
          <w:rFonts w:ascii="Courier New" w:hAnsi="Courier New"/>
          <w:sz w:val="17"/>
        </w:rPr>
        <w:t xml:space="preserve">2    2.1    Ausgleich von finanziellen Nachteilen im öffentlichen Personennahverkehr        aufgrund des Rückgangs von Fahrgeldeinnahmen einschließlich dadurch bedingter Rückgänge von Ausgleichszahlungen    </w:t>
      </w:r>
    </w:p>
    <w:p>
      <w:r>
        <w:rPr>
          <w:rFonts w:ascii="Courier New" w:hAnsi="Courier New"/>
          <w:sz w:val="17"/>
        </w:rPr>
        <w:t xml:space="preserve">2.2        aufgrund der Erstattung administrativer Aufwendungen    </w:t>
      </w:r>
    </w:p>
    <w:p>
      <w:r>
        <w:rPr>
          <w:rFonts w:ascii="Courier New" w:hAnsi="Courier New"/>
          <w:sz w:val="17"/>
        </w:rPr>
        <w:t xml:space="preserve">2.3        Summe (2.1 und 2.2)    </w:t>
      </w:r>
    </w:p>
    <w:p>
      <w:r>
        <w:rPr>
          <w:rFonts w:ascii="Courier New" w:hAnsi="Courier New"/>
          <w:sz w:val="17"/>
        </w:rPr>
        <w:t xml:space="preserve">3        Differenz verfügbare Mittel/Ausgaben        (Differenz aus 1.3 und 2.3)    </w:t>
      </w:r>
    </w:p>
    <w:p>
      <w:r>
        <w:rPr>
          <w:rFonts w:ascii="Courier New" w:hAnsi="Courier New"/>
          <w:sz w:val="17"/>
        </w:rPr>
        <w:t xml:space="preserve">4        Nachrichtlich        Sonstige Ausgaben ÖPNV/SPNV    </w:t>
      </w:r>
    </w:p>
    <w:p>
      <w:r>
        <w:rPr>
          <w:color w:val="555555"/>
          <w:sz w:val="17"/>
        </w:rPr>
        <w:t xml:space="preserve">Zitiervorschlag: Anlage 7 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