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RegG — Unterstützung der Länder bei der Umsetzung des Vorhabens Deutschlandticket</w:t>
      </w:r>
    </w:p>
    <w:p>
      <w:r>
        <w:rPr>
          <w:color w:val="555555"/>
          <w:sz w:val="18"/>
        </w:rPr>
        <w:t xml:space="preserve">Regionalisierungsgesetz</w:t>
      </w:r>
    </w:p>
    <w:p>
      <w:r>
        <w:rPr>
          <w:color w:val="555555"/>
          <w:sz w:val="18"/>
        </w:rPr>
        <w:t xml:space="preserve">Stand: 01.01.2026 (konsolidierte Textfassung, kein amtliches Inkrafttretensdatum)</w:t>
      </w:r>
    </w:p>
    <w:p>
      <w:r>
        <w:t xml:space="preserve">(1) Die Länder führen ab dem 1. Mai 2023 ein Ticket ein, das zur bundesweiten Nutzung des öffentlichen Personennahverkehrs berechtigt (Deutschlandticket). Es soll in digitaler Form erhältlich sein und in einem monatlich kündbaren Abonnement angeboten werden. Der maßgebliche Ausgleich finanzieller Nachteile entsprechend den Regelungen der Verordnung (EG) Nr. 1370/2007 wird von den Ländern bzw. den zuständigen Behörden abgewickelt.</w:t>
      </w:r>
    </w:p>
    <w:p>
      <w:r>
        <w:t xml:space="preserve">(2) Den Ländern steht für die Kalenderjahre 2023 bis 2030 für den Ausgleich der durch die Einführung und Umsetzung der in Absatz 1 Satz 1 genannten Maßnahme entstandenen finanziellen Nachteile ein Betrag von 1 500 000 000,00 Euro für jedes Kalenderjahr aus dem Steueraufkommen des Bundes zu. Mit den jährlichen Beträgen beteiligt sich der Bund an der Finanzierung der durch das Deutschlandticket entstandenen finanziellen Nachteile. Die Länder beteiligen sich mindestens in gleicher Höhe. Für den Zeitraum vom 1. Mai 2023 bis 31. Dezember 2025 werden die tatsächlich entstandenen finanziellen Nachteile nach den Regelungen des Absatzes 7 ausgeglichen. Für den Zeitraum vom 1. Januar 2026 bis 31. Dezember 2030 werden die tatsächlich entstandenen finanziellen Nachteile nach den Regelungen des Absatzes 7a ausgeglichen.</w:t>
      </w:r>
    </w:p>
    <w:p>
      <w:r>
        <w:t xml:space="preserve">(3) Der jährliche Betrag nach Absatz 2 Satz 1 wird in den Jahren 2023 bis 2025 wie folgt auf die Länder verteilt:</w:t>
      </w:r>
    </w:p>
    <w:p>
      <w:r>
        <w:rPr>
          <w:rFonts w:ascii="Courier New" w:hAnsi="Courier New"/>
          <w:sz w:val="17"/>
        </w:rPr>
        <w:t xml:space="preserve">Baden-Württemberg    176 200 000,00 Euro</w:t>
      </w:r>
    </w:p>
    <w:p>
      <w:r>
        <w:rPr>
          <w:rFonts w:ascii="Courier New" w:hAnsi="Courier New"/>
          <w:sz w:val="17"/>
        </w:rPr>
        <w:t xml:space="preserve">Bayern    317 500 000,00 Euro</w:t>
      </w:r>
    </w:p>
    <w:p>
      <w:r>
        <w:rPr>
          <w:rFonts w:ascii="Courier New" w:hAnsi="Courier New"/>
          <w:sz w:val="17"/>
        </w:rPr>
        <w:t xml:space="preserve">Berlin    135 700 000,00 Euro</w:t>
      </w:r>
    </w:p>
    <w:p>
      <w:r>
        <w:rPr>
          <w:rFonts w:ascii="Courier New" w:hAnsi="Courier New"/>
          <w:sz w:val="17"/>
        </w:rPr>
        <w:t xml:space="preserve">Brandenburg    32 800 000,00 Euro</w:t>
      </w:r>
    </w:p>
    <w:p>
      <w:r>
        <w:rPr>
          <w:rFonts w:ascii="Courier New" w:hAnsi="Courier New"/>
          <w:sz w:val="17"/>
        </w:rPr>
        <w:t xml:space="preserve">Bremen    20 300 000,00 Euro</w:t>
      </w:r>
    </w:p>
    <w:p>
      <w:r>
        <w:rPr>
          <w:rFonts w:ascii="Courier New" w:hAnsi="Courier New"/>
          <w:sz w:val="17"/>
        </w:rPr>
        <w:t xml:space="preserve">Hamburg    86 300 000,00 Euro</w:t>
      </w:r>
    </w:p>
    <w:p>
      <w:r>
        <w:rPr>
          <w:rFonts w:ascii="Courier New" w:hAnsi="Courier New"/>
          <w:sz w:val="17"/>
        </w:rPr>
        <w:t xml:space="preserve">Hessen    110 600 000,00 Euro</w:t>
      </w:r>
    </w:p>
    <w:p>
      <w:r>
        <w:rPr>
          <w:rFonts w:ascii="Courier New" w:hAnsi="Courier New"/>
          <w:sz w:val="17"/>
        </w:rPr>
        <w:t xml:space="preserve">Mecklenburg-Vorpommern    20 400 000,00 Euro</w:t>
      </w:r>
    </w:p>
    <w:p>
      <w:r>
        <w:rPr>
          <w:rFonts w:ascii="Courier New" w:hAnsi="Courier New"/>
          <w:sz w:val="17"/>
        </w:rPr>
        <w:t xml:space="preserve">Niedersachsen    120 000 000,00 Euro</w:t>
      </w:r>
    </w:p>
    <w:p>
      <w:r>
        <w:rPr>
          <w:rFonts w:ascii="Courier New" w:hAnsi="Courier New"/>
          <w:sz w:val="17"/>
        </w:rPr>
        <w:t xml:space="preserve">Nordrhein-Westfalen    280 800 000,00 Euro</w:t>
      </w:r>
    </w:p>
    <w:p>
      <w:r>
        <w:rPr>
          <w:rFonts w:ascii="Courier New" w:hAnsi="Courier New"/>
          <w:sz w:val="17"/>
        </w:rPr>
        <w:t xml:space="preserve">Rheinland-Pfalz    52 100 000,00 Euro</w:t>
      </w:r>
    </w:p>
    <w:p>
      <w:r>
        <w:rPr>
          <w:rFonts w:ascii="Courier New" w:hAnsi="Courier New"/>
          <w:sz w:val="17"/>
        </w:rPr>
        <w:t xml:space="preserve">Saarland    10 300 000,00 Euro</w:t>
      </w:r>
    </w:p>
    <w:p>
      <w:r>
        <w:rPr>
          <w:rFonts w:ascii="Courier New" w:hAnsi="Courier New"/>
          <w:sz w:val="17"/>
        </w:rPr>
        <w:t xml:space="preserve">Sachsen    43 000 000,00 Euro</w:t>
      </w:r>
    </w:p>
    <w:p>
      <w:r>
        <w:rPr>
          <w:rFonts w:ascii="Courier New" w:hAnsi="Courier New"/>
          <w:sz w:val="17"/>
        </w:rPr>
        <w:t xml:space="preserve">Sachsen-Anhalt    21 700 000,00 Euro</w:t>
      </w:r>
    </w:p>
    <w:p>
      <w:r>
        <w:rPr>
          <w:rFonts w:ascii="Courier New" w:hAnsi="Courier New"/>
          <w:sz w:val="17"/>
        </w:rPr>
        <w:t xml:space="preserve">Schleswig-Holstein    52 400 000,00 Euro</w:t>
      </w:r>
    </w:p>
    <w:p>
      <w:r>
        <w:rPr>
          <w:rFonts w:ascii="Courier New" w:hAnsi="Courier New"/>
          <w:sz w:val="17"/>
        </w:rPr>
        <w:t xml:space="preserve">Thüringen    19 900 000,00 Euro.</w:t>
      </w:r>
    </w:p>
    <w:p>
      <w:r>
        <w:t xml:space="preserve">(3a) Der Betrag nach Absatz 2 Satz 1 wird in den Jahren 2026 bis 2030 wie folgt auf die Länder verteilt:</w:t>
      </w:r>
    </w:p>
    <w:p>
      <w:r>
        <w:rPr>
          <w:rFonts w:ascii="Courier New" w:hAnsi="Courier New"/>
          <w:sz w:val="17"/>
        </w:rPr>
        <w:t xml:space="preserve">Baden-Württemberg    203 200 000 Euro</w:t>
      </w:r>
    </w:p>
    <w:p>
      <w:r>
        <w:rPr>
          <w:rFonts w:ascii="Courier New" w:hAnsi="Courier New"/>
          <w:sz w:val="17"/>
        </w:rPr>
        <w:t xml:space="preserve">Bayern    299 830 000 Euro</w:t>
      </w:r>
    </w:p>
    <w:p>
      <w:r>
        <w:rPr>
          <w:rFonts w:ascii="Courier New" w:hAnsi="Courier New"/>
          <w:sz w:val="17"/>
        </w:rPr>
        <w:t xml:space="preserve">Berlin    152 790 000 Euro</w:t>
      </w:r>
    </w:p>
    <w:p>
      <w:r>
        <w:rPr>
          <w:rFonts w:ascii="Courier New" w:hAnsi="Courier New"/>
          <w:sz w:val="17"/>
        </w:rPr>
        <w:t xml:space="preserve">Brandenburg    12 010 000 Euro</w:t>
      </w:r>
    </w:p>
    <w:p>
      <w:r>
        <w:rPr>
          <w:rFonts w:ascii="Courier New" w:hAnsi="Courier New"/>
          <w:sz w:val="17"/>
        </w:rPr>
        <w:t xml:space="preserve">Bremen    7 500 000 Euro</w:t>
      </w:r>
    </w:p>
    <w:p>
      <w:r>
        <w:rPr>
          <w:rFonts w:ascii="Courier New" w:hAnsi="Courier New"/>
          <w:sz w:val="17"/>
        </w:rPr>
        <w:t xml:space="preserve">Hamburg    99 030 000 Euro</w:t>
      </w:r>
    </w:p>
    <w:p>
      <w:r>
        <w:rPr>
          <w:rFonts w:ascii="Courier New" w:hAnsi="Courier New"/>
          <w:sz w:val="17"/>
        </w:rPr>
        <w:t xml:space="preserve">Hessen    96 940 000 Euro</w:t>
      </w:r>
    </w:p>
    <w:p>
      <w:r>
        <w:rPr>
          <w:rFonts w:ascii="Courier New" w:hAnsi="Courier New"/>
          <w:sz w:val="17"/>
        </w:rPr>
        <w:t xml:space="preserve">Mecklenburg-Vorpommern    14 770 000 Euro</w:t>
      </w:r>
    </w:p>
    <w:p>
      <w:r>
        <w:rPr>
          <w:rFonts w:ascii="Courier New" w:hAnsi="Courier New"/>
          <w:sz w:val="17"/>
        </w:rPr>
        <w:t xml:space="preserve">Niedersachsen    80 840 000 Euro</w:t>
      </w:r>
    </w:p>
    <w:p>
      <w:r>
        <w:rPr>
          <w:rFonts w:ascii="Courier New" w:hAnsi="Courier New"/>
          <w:sz w:val="17"/>
        </w:rPr>
        <w:t xml:space="preserve">Nordrhein-Westfalen    358 460 000 Euro</w:t>
      </w:r>
    </w:p>
    <w:p>
      <w:r>
        <w:rPr>
          <w:rFonts w:ascii="Courier New" w:hAnsi="Courier New"/>
          <w:sz w:val="17"/>
        </w:rPr>
        <w:t xml:space="preserve">Rheinland-Pfalz    45 650 000 Euro</w:t>
      </w:r>
    </w:p>
    <w:p>
      <w:r>
        <w:rPr>
          <w:rFonts w:ascii="Courier New" w:hAnsi="Courier New"/>
          <w:sz w:val="17"/>
        </w:rPr>
        <w:t xml:space="preserve">Saarland    7 500 000 Euro</w:t>
      </w:r>
    </w:p>
    <w:p>
      <w:r>
        <w:rPr>
          <w:rFonts w:ascii="Courier New" w:hAnsi="Courier New"/>
          <w:sz w:val="17"/>
        </w:rPr>
        <w:t xml:space="preserve">Sachsen    40 770 000 Euro</w:t>
      </w:r>
    </w:p>
    <w:p>
      <w:r>
        <w:rPr>
          <w:rFonts w:ascii="Courier New" w:hAnsi="Courier New"/>
          <w:sz w:val="17"/>
        </w:rPr>
        <w:t xml:space="preserve">Sachsen-Anhalt    17 130 000 Euro</w:t>
      </w:r>
    </w:p>
    <w:p>
      <w:r>
        <w:rPr>
          <w:rFonts w:ascii="Courier New" w:hAnsi="Courier New"/>
          <w:sz w:val="17"/>
        </w:rPr>
        <w:t xml:space="preserve">Schleswig-Holstein    42 930 000 Euro</w:t>
      </w:r>
    </w:p>
    <w:p>
      <w:r>
        <w:rPr>
          <w:rFonts w:ascii="Courier New" w:hAnsi="Courier New"/>
          <w:sz w:val="17"/>
        </w:rPr>
        <w:t xml:space="preserve">Thüringen    20 650 000 Euro.</w:t>
      </w:r>
    </w:p>
    <w:p>
      <w:r>
        <w:t xml:space="preserve">(4) Von den für die Jahre 2024 bis 2030 jeweils zur Verfügung zu stellenden Beträgen ist je ein Zwölftel zum 15. Tag eines jeden Monats zu überweisen.</w:t>
      </w:r>
    </w:p>
    <w:p>
      <w:r>
        <w:t xml:space="preserve">(5) Die Länder haben einvernehmlich die in den Absätzen 3 und 3a jeweils festgelegte Verteilung in einer Endabrechnung an die tatsächlich entstandenen finanziellen Nachteile im öffentlichen Personennahverkehr in eigener Verantwortung anzupassen. Der Bund wird über eine solche Beschlussfassung und die anschließende Umsetzung jeweils zeitnah unterrichtet.</w:t>
      </w:r>
    </w:p>
    <w:p>
      <w:r>
        <w:t xml:space="preserve">(6) Die Länder sind für die zweckentsprechende Verwendung der Beträge nach den Absätzen 3 und 3a verantwortlich und weisen dem Bund jährlich, beginnend mit dem Jahr 2023, die Verwendung der Mittel nach Maßgabe der Anlage 8, ab dem Jahr 2026 nach Maßgabe der Anlage 9, bis zum 30. Juni des jeweiligen Folgejahres nach. Nachzuweisen sind die dem jeweiligen Kalenderjahr zuzurechnenden finanziellen Nachteile, unabhängig davon, in welchem Jahr diese haushaltswirksam geworden sind. Bei der Erstellung des Verwendungsnachweises sind Veränderungen der Werte der Vorjahre kenntlich zu machen und zu erläutern. Eine Ergänzung des Bundesanteils durch Regionalisierungsmittel gemäß § 5 sowie Verrechnungen, die dies bewirken, sind nicht gestattet. Nicht oder nicht zweckentsprechend verwendete Mittel sind dem Bund zu erstatten.</w:t>
      </w:r>
    </w:p>
    <w:p>
      <w:r>
        <w:t xml:space="preserve">(7) Nach Vorlage der endgültigen Daten gemäß Anlage 8 für die Kalenderjahre 2023, 2024 und 2025 ist nachzuweisen, auf welche Höhe sich der tatsächlich erforderliche Betrag beläuft, um die finanziellen Nachteile im Sinne des Absatzes 2 Satz 2 und 3, die im Zeitraum vom 1. Mai 2023 bis 31. Dezember 2025 entstanden sind, auszugleichen und wie sich dieser auf die einzelnen Länder verteilt. Im Benehmen mit den Ländern beauftragt der Bund eine Wirtschaftsprüferin, einen Wirtschaftsprüfer oder eine Wirtschaftsprüfungsgesellschaft mit der für die Prüfung erforderlichen Untersuchung der finanziellen Nachteile durch das Deutschlandticket.</w:t>
      </w:r>
    </w:p>
    <w:p>
      <w:r>
        <w:t xml:space="preserve">(7a) Die Mittel nach Absatz 3a stehen für den Ausgleich der finanziellen Nachteile im Sinne des Absatzes 2 Satz 2 und 3 im Zeitraum vom 1. Januar 2026 bis 31. Dezember 2030 zur Verfügung.</w:t>
      </w:r>
    </w:p>
    <w:p>
      <w:r>
        <w:t xml:space="preserve">(8) Die Bundesregierung hat jährlich aus den Nachweisen der Länder einen Gesamtbericht zu erstellen, der dem Deutschen Bundestag zugeleitet und veröffentlicht wird.</w:t>
      </w:r>
    </w:p>
    <w:p>
      <w:r>
        <w:rPr>
          <w:color w:val="555555"/>
          <w:sz w:val="17"/>
        </w:rPr>
        <w:t xml:space="preserve">Zitiervorschlag: § 9 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