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RegG — Unterstützung der Länder bei der Umsetzung des Vorhabens 9-Euro-Ticket</w:t>
      </w:r>
    </w:p>
    <w:p>
      <w:r>
        <w:rPr>
          <w:color w:val="555555"/>
          <w:sz w:val="18"/>
        </w:rPr>
        <w:t xml:space="preserve">Regionalisierungsgesetz</w:t>
      </w:r>
    </w:p>
    <w:p>
      <w:r>
        <w:rPr>
          <w:color w:val="555555"/>
          <w:sz w:val="18"/>
        </w:rPr>
        <w:t xml:space="preserve">Stand: 21.12.2022 (konsolidierte Textfassung, kein amtliches Inkrafttretensdatum)</w:t>
      </w:r>
    </w:p>
    <w:p>
      <w:r>
        <w:t xml:space="preserve">(1) Für den Zeitraum Juni bis August 2022 wird ein Tarif angeboten, der für ein Entgelt von 9 Euro pro Kalendermonat die Nutzung des öffentlichen Personennahverkehrs ermöglicht. Die für die Umsetzung der in Satz 1 genannten Maßnahme erforderliche Zustimmung nach § 39 Absatz 1 Satz 1 und Absatz 6 Satz 1 und 2 des Personenbeförderungsgesetzes sowie die Genehmigung nach § 12 Absatz 3 Satz 1 des Allgemeinen Eisenbahngesetzes gelten als erteilt.</w:t>
      </w:r>
    </w:p>
    <w:p>
      <w:r>
        <w:t xml:space="preserve">(2) Den Ländern steht im Jahr 2022 für den Ausgleich der durch die Einführung und die Umsetzung der in Absatz 1 Satz 1 genannten Maßnahme entstandenen finanziellen Nachteile ein Betrag aus dem Steueraufkommen des Bundes zu. Der Betrag wird auf 2 500 000 000,00 Euro festgesetzt.</w:t>
      </w:r>
    </w:p>
    <w:p>
      <w:r>
        <w:t xml:space="preserve">(3) Der Betrag nach Absatz 2 wird wie folgt auf die Länder verteilt:</w:t>
      </w:r>
    </w:p>
    <w:p>
      <w:r>
        <w:rPr>
          <w:rFonts w:ascii="Courier New" w:hAnsi="Courier New"/>
          <w:sz w:val="17"/>
        </w:rPr>
        <w:t xml:space="preserve">Baden-Württemberg    293 600 000,00 Euro</w:t>
      </w:r>
    </w:p>
    <w:p>
      <w:r>
        <w:rPr>
          <w:rFonts w:ascii="Courier New" w:hAnsi="Courier New"/>
          <w:sz w:val="17"/>
        </w:rPr>
        <w:t xml:space="preserve">Bayern    529 200 000,00 Euro</w:t>
      </w:r>
    </w:p>
    <w:p>
      <w:r>
        <w:rPr>
          <w:rFonts w:ascii="Courier New" w:hAnsi="Courier New"/>
          <w:sz w:val="17"/>
        </w:rPr>
        <w:t xml:space="preserve">Berlin    226 100 000,00 Euro</w:t>
      </w:r>
    </w:p>
    <w:p>
      <w:r>
        <w:rPr>
          <w:rFonts w:ascii="Courier New" w:hAnsi="Courier New"/>
          <w:sz w:val="17"/>
        </w:rPr>
        <w:t xml:space="preserve">Brandenburg    54 700 000,00 Euro</w:t>
      </w:r>
    </w:p>
    <w:p>
      <w:r>
        <w:rPr>
          <w:rFonts w:ascii="Courier New" w:hAnsi="Courier New"/>
          <w:sz w:val="17"/>
        </w:rPr>
        <w:t xml:space="preserve">Bremen    33 800 000,00 Euro</w:t>
      </w:r>
    </w:p>
    <w:p>
      <w:r>
        <w:rPr>
          <w:rFonts w:ascii="Courier New" w:hAnsi="Courier New"/>
          <w:sz w:val="17"/>
        </w:rPr>
        <w:t xml:space="preserve">Hamburg    143 800 000,00 Euro</w:t>
      </w:r>
    </w:p>
    <w:p>
      <w:r>
        <w:rPr>
          <w:rFonts w:ascii="Courier New" w:hAnsi="Courier New"/>
          <w:sz w:val="17"/>
        </w:rPr>
        <w:t xml:space="preserve">Hessen    184 300 000,00 Euro</w:t>
      </w:r>
    </w:p>
    <w:p>
      <w:r>
        <w:rPr>
          <w:rFonts w:ascii="Courier New" w:hAnsi="Courier New"/>
          <w:sz w:val="17"/>
        </w:rPr>
        <w:t xml:space="preserve">Mecklenburg-Vorpommern    34 100 000,00 Euro</w:t>
      </w:r>
    </w:p>
    <w:p>
      <w:r>
        <w:rPr>
          <w:rFonts w:ascii="Courier New" w:hAnsi="Courier New"/>
          <w:sz w:val="17"/>
        </w:rPr>
        <w:t xml:space="preserve">Niedersachsen    200 100 000,00 Euro</w:t>
      </w:r>
    </w:p>
    <w:p>
      <w:r>
        <w:rPr>
          <w:rFonts w:ascii="Courier New" w:hAnsi="Courier New"/>
          <w:sz w:val="17"/>
        </w:rPr>
        <w:t xml:space="preserve">Nordrhein-Westfalen    468 100 000,00 Euro</w:t>
      </w:r>
    </w:p>
    <w:p>
      <w:r>
        <w:rPr>
          <w:rFonts w:ascii="Courier New" w:hAnsi="Courier New"/>
          <w:sz w:val="17"/>
        </w:rPr>
        <w:t xml:space="preserve">Rheinland-Pfalz    86 800 000,00 Euro</w:t>
      </w:r>
    </w:p>
    <w:p>
      <w:r>
        <w:rPr>
          <w:rFonts w:ascii="Courier New" w:hAnsi="Courier New"/>
          <w:sz w:val="17"/>
        </w:rPr>
        <w:t xml:space="preserve">Saarland    17 100 000,00 Euro</w:t>
      </w:r>
    </w:p>
    <w:p>
      <w:r>
        <w:rPr>
          <w:rFonts w:ascii="Courier New" w:hAnsi="Courier New"/>
          <w:sz w:val="17"/>
        </w:rPr>
        <w:t xml:space="preserve">Sachsen    71 700 000,00 Euro</w:t>
      </w:r>
    </w:p>
    <w:p>
      <w:r>
        <w:rPr>
          <w:rFonts w:ascii="Courier New" w:hAnsi="Courier New"/>
          <w:sz w:val="17"/>
        </w:rPr>
        <w:t xml:space="preserve">Sachsen-Anhalt    36 200 000,00 Euro</w:t>
      </w:r>
    </w:p>
    <w:p>
      <w:r>
        <w:rPr>
          <w:rFonts w:ascii="Courier New" w:hAnsi="Courier New"/>
          <w:sz w:val="17"/>
        </w:rPr>
        <w:t xml:space="preserve">Schleswig-Holstein    87 300 000,00 Euro</w:t>
      </w:r>
    </w:p>
    <w:p>
      <w:r>
        <w:rPr>
          <w:rFonts w:ascii="Courier New" w:hAnsi="Courier New"/>
          <w:sz w:val="17"/>
        </w:rPr>
        <w:t xml:space="preserve">Thüringen    33 100 000,00 Euro.</w:t>
      </w:r>
    </w:p>
    <w:p>
      <w:r>
        <w:t xml:space="preserve">(4) Der Betrag nach Absatz 3 wird spätestens am 11. Juni 2022 ausgezahlt.</w:t>
      </w:r>
    </w:p>
    <w:p>
      <w:r>
        <w:t xml:space="preserve">(5) Die Länder passen einvernehmlich die in Absatz 3 festgelegte Verteilung in einer Endabrechnung an die in diesem Zeitraum tatsächlich entstandenen finanziellen Nachteile im öffentlichen Personennahverkehr in eigener Verantwortung an. Der Bund wird über eine solche Beschlussfassung und die anschließende Umsetzung jeweils zeitnah unterrichtet.</w:t>
      </w:r>
    </w:p>
    <w:p>
      <w:r>
        <w:t xml:space="preserve">(6) Die Länder sind für die zweckentsprechende Verwendung der Beträge nach Absatz 3 verantwortlich und weisen dem Bund die Verwendung dieser Mittel bis zum 30. Juni 2024 gemäß Anlage 7 nach. Nicht im Jahr 2022 verwendete Mittel werden in den Folgejahren über die Anlage 5 nachgewiesen, indem diese Regionalisierungsmittel der Summe der verfügbaren Mittel zugerechnet werden.</w:t>
      </w:r>
    </w:p>
    <w:p>
      <w:r>
        <w:rPr>
          <w:color w:val="555555"/>
          <w:sz w:val="17"/>
        </w:rPr>
        <w:t xml:space="preserve">Zitiervorschlag: § 8 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