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RegBkPlG (Brandenburg) — Regionen</w:t>
      </w:r>
    </w:p>
    <w:p>
      <w:r>
        <w:rPr>
          <w:color w:val="555555"/>
          <w:sz w:val="18"/>
        </w:rPr>
        <w:t xml:space="preserve">Gesetz zur Regionalplanung und zur Braunkohlen- und Sanierungsplanung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Region ist ein weitgehend miteinander verflochtener Lebens- und Wirtschaftsraum, der wesentliche naturräumliche, siedlungs- und infrastrukturelle Verflechtungen erfasst. Für die Regionalplanung werden als großflächige Teilräume des Landes fünf Regionen gebildet, die sich wegen der besonderen Lage von Berlin in der Mitte des Landes räumlich-sektoral von der inneren bis zur äußeren Landesgrenze erstrecken.</w:t>
      </w:r>
    </w:p>
    <w:p>
      <w:r>
        <w:t xml:space="preserve">(2) Zu diesen Regionen gehören folgende Gebiete:</w:t>
      </w:r>
    </w:p>
    <w:p>
      <w:r>
        <w:t xml:space="preserve">zur Region „Prignitz-Oberhavel“ die Landkreise Oberhavel, Ostprignitz-Ruppin und Prignitz.</w:t>
      </w:r>
    </w:p>
    <w:p>
      <w:r>
        <w:t xml:space="preserve">zur Region „Uckermark-Barnim“ die Landkreise Uckermark und Barnim.</w:t>
      </w:r>
    </w:p>
    <w:p>
      <w:r>
        <w:t xml:space="preserve">zur Region „Oderland-Spree“ die Landkreise Märkisch-Oderland und Oder-Spree sowie die kreisfreie Stadt Frankfurt (Oder).</w:t>
      </w:r>
    </w:p>
    <w:p>
      <w:r>
        <w:t xml:space="preserve">zur Region „Lausitz-Spreewald“ die Landkreise Oberspreewald-Lausitz, Dahme-Spreewald, Elbe-Elster und Spree-Neiße sowie die kreisfreie Stadt Cottbus/Chóśebuz.</w:t>
      </w:r>
    </w:p>
    <w:p>
      <w:r>
        <w:t xml:space="preserve">zur Region „Havelland-Fläming“ die Landkreise Potsdam-Mittelmark, Havelland und Teltow-Fläming sowie die kreisfreien Städte Potsdam und Brandenburg an der Havel.</w:t>
      </w:r>
    </w:p>
    <w:p>
      <w:r>
        <w:rPr>
          <w:color w:val="555555"/>
          <w:sz w:val="17"/>
        </w:rPr>
        <w:t xml:space="preserve">Zitiervorschlag: § 3 RegBkPlG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https://recht.nulegal.eu/gesetze/RegBkPlG/3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