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RegBkPlG (Brandenburg) — Erlass als Rechtsverordnung</w:t>
      </w:r>
    </w:p>
    <w:p>
      <w:r>
        <w:rPr>
          <w:color w:val="555555"/>
          <w:sz w:val="18"/>
        </w:rPr>
        <w:t xml:space="preserve">Gesetz zur Regionalplanung und zur Braunkohlen- und Sanierungsplanung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Braunkohlen- und Sanierungspläne bedürfen der Beschlussfassung durch die Landesregierung. Die Landesregierung wird ermächtigt, Braunkohlen- und Sanierungspläne als Rechtsverordnung zu erlassen. Zuständige Stelle nach § 11 Absatz 5 Satz 1 des Raumordnungsgesetzes ist die Landesplanungsbehörde.</w:t>
      </w:r>
    </w:p>
    <w:p>
      <w:r>
        <w:rPr>
          <w:color w:val="555555"/>
          <w:sz w:val="17"/>
        </w:rPr>
        <w:t xml:space="preserve">Zitiervorschlag: § 19 RegBkPlG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https://recht.nulegal.eu/gesetze/RegBkPlG/19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