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RegBkPlG (Brandenburg) — Braunkohlen- und Sanierungsplangebiete</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Braunkohlen- und Sanierungsplangebiete werden bestimmt durch die Gebiete für den Abbau, die Außenhalden und die Ansiedlungen, die Gebiete, deren oberster Grundwasserleiter durch den Abbau oder durch Sanierungsmaßnahmen beeinflusst wird sowie die Gebiete, auf denen der Braunkohlenabbau oder die Braunkohlenveredelung eingestellt wurde oder eingestellt werden soll.</w:t>
      </w:r>
    </w:p>
    <w:p>
      <w:r>
        <w:t xml:space="preserve">(2) Die Braunkohlen- und Sanierungsplangebiete werden im Einzelnen durch Rechtsverordnung der Landesregierung festgelegt.</w:t>
      </w:r>
    </w:p>
    <w:p>
      <w:r>
        <w:rPr>
          <w:color w:val="555555"/>
          <w:sz w:val="17"/>
        </w:rPr>
        <w:t xml:space="preserve">Zitiervorschlag: § 13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