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RegBkPlG (Brandenburg) — Braunkohlen- und Sanierungspläne</w:t>
      </w:r>
    </w:p>
    <w:p>
      <w:r>
        <w:rPr>
          <w:color w:val="555555"/>
          <w:sz w:val="18"/>
        </w:rPr>
        <w:t xml:space="preserve">Gesetz zur Regionalplanung und zur Braunkohlen- und Sanierungsplanung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Braunkohlen- und Sanierungspläne legen unter Berücksichtigung des gemeinsamen Landesraumordnungsplans nach Artikel 2 Absatz 2 Nummer 1 des Landesplanungsvertrages sowie nach Abstimmung mit der Regionalplanung Grundsätze und Ziele der Raumordnung fest, soweit dies für eine geordnete Braunkohlen- und Sanierungsplanung erforderlich ist. Soweit nachfolgend nichts Anderes geregelt ist, gelten die Vorschriften über die Aufstellung von Regionalplänen mit Ausnahme von § 2 Absatz 6 entsprechend.</w:t>
      </w:r>
    </w:p>
    <w:p>
      <w:r>
        <w:t xml:space="preserve">(2) Ziel des Braunkohlenplanes ist es, eine langfristig sichere Energieversorgung zu ermöglichen, die zugleich umwelt- und sozialverträglich ist. Ziel des Sanierungsplanes ist es, bergbauliche Folgeschäden in den Gebieten, in denen der Braunkohlenabbau mittelfristig ausläuft oder schon eingestellt ist, soweit wie möglich auszugleichen.</w:t>
      </w:r>
    </w:p>
    <w:p>
      <w:r>
        <w:t xml:space="preserve">(3) In Braunkohlen- und Sanierungsplänen sollen unter Berücksichtigung sachlicher, räumlicher und zeitlicher Abhängigkeiten insbesondere folgende Sachverhalte, Ziele und Maßnahmen dargestellt werden:</w:t>
      </w:r>
    </w:p>
    <w:p>
      <w:r>
        <w:t xml:space="preserve">Braunkohlenpläne:</w:t>
      </w:r>
    </w:p>
    <w:p>
      <w:r>
        <w:t xml:space="preserve">gegenwärtiger Zustand von Siedlung und Landschaft, Bau- und Bodendenkmale,</w:t>
      </w:r>
    </w:p>
    <w:p>
      <w:r>
        <w:t xml:space="preserve">Minimierung des Eingriffs während und nach dem Abbau,</w:t>
      </w:r>
    </w:p>
    <w:p>
      <w:r>
        <w:t xml:space="preserve">Abbaugrenzen und Sicherheitslinien des Abbaus, Haldenflächen und deren Sicherheitslinien,</w:t>
      </w:r>
    </w:p>
    <w:p>
      <w:r>
        <w:t xml:space="preserve">unvermeidbare Umsiedlungen und Flächen für die Wiederansiedlung,</w:t>
      </w:r>
    </w:p>
    <w:p>
      <w:r>
        <w:t xml:space="preserve">Räume für Verkehrswege und Leitungen,</w:t>
      </w:r>
    </w:p>
    <w:p>
      <w:r>
        <w:t xml:space="preserve">Bergbaufolgelandschaft;</w:t>
      </w:r>
    </w:p>
    <w:p>
      <w:r>
        <w:t xml:space="preserve">Sanierungspläne:</w:t>
      </w:r>
    </w:p>
    <w:p>
      <w:r>
        <w:t xml:space="preserve">Oberflächengestaltung und Rekultivierung oder Renaturierung,</w:t>
      </w:r>
    </w:p>
    <w:p>
      <w:r>
        <w:t xml:space="preserve">Überwindung von Gefährdungspotenzialen, Darstellung zeitweiliger Sperrgebiete,</w:t>
      </w:r>
    </w:p>
    <w:p>
      <w:r>
        <w:t xml:space="preserve">Wiederherstellung von Verkehrswegen und Leitungen,</w:t>
      </w:r>
    </w:p>
    <w:p>
      <w:r>
        <w:t xml:space="preserve">Wiederherstellung eines ausgeglichenen Wasserhaushaltes.</w:t>
      </w:r>
    </w:p>
    <w:p>
      <w:r>
        <w:rPr>
          <w:color w:val="555555"/>
          <w:sz w:val="17"/>
        </w:rPr>
        <w:t xml:space="preserve">Zitiervorschlag: § 12 RegBkPlG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https://recht.nulegal.eu/gesetze/RegBkPlG/12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