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RefiRegV</w:t>
      </w:r>
    </w:p>
    <w:p>
      <w:r>
        <w:rPr>
          <w:color w:val="555555"/>
          <w:sz w:val="18"/>
        </w:rPr>
        <w:t xml:space="preserve">Refinanzierungsregisterverordnung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22d Abs. 1 Satz 2 des Kreditwesengesetzes, der durch Artikel 4a Nr. 4 des Gesetzes vom 22. September 2005 (BGBl. I S. 2809) eingefügt worden ist, in Verbindung mit § 1 Nr. 5 der Verordnung zur Übertragung von Befugnissen zum Erlass von Rechtsverordnungen auf die Bundesanstalt für Finanzdienstleistungsaufsicht vom 13. Dezember 2002 (BGBl. 2003 I S. 3), § 1 Nr. 5 zuletzt geändert durch Artikel 1 der Verordnung vom 17. November 2005 (BGBl. I S. 3187),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RefiRegV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https://recht.nulegal.eu/gesetze/RefiRegV/eingangsformel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