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7 RefiRegV — Schutz des Refinanzierungsregisters</w:t>
      </w:r>
    </w:p>
    <w:p>
      <w:r>
        <w:rPr>
          <w:color w:val="555555"/>
          <w:sz w:val="18"/>
        </w:rPr>
        <w:t xml:space="preserve">Refinanzierungsregisterverordnung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Das Refinanzierungsregister ist vor unberechtigtem Zugriff sowie vor Beschädigung oder Zerstörung durch äußere Einwirkungen wie Feuer oder Wasser besonders zu schützen.</w:t>
      </w:r>
    </w:p>
    <w:p>
      <w:r>
        <w:rPr>
          <w:color w:val="555555"/>
          <w:sz w:val="17"/>
        </w:rPr>
        <w:t xml:space="preserve">Zitiervorschlag: § 7 RefiRegV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https://recht.nulegal.eu/gesetze/RefiRegV/7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