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RefiRegV — Vollständigkeit und Richtigkeit des Refinanzierungsregisters</w:t>
      </w:r>
    </w:p>
    <w:p>
      <w:r>
        <w:rPr>
          <w:color w:val="555555"/>
          <w:sz w:val="18"/>
        </w:rPr>
        <w:t xml:space="preserve">Refinanzierungsregisterverordnung</w:t>
      </w:r>
    </w:p>
    <w:p>
      <w:r>
        <w:rPr>
          <w:color w:val="555555"/>
          <w:sz w:val="18"/>
        </w:rPr>
        <w:t xml:space="preserve">Stand: 01.07.2023 (konsolidierte Textfassung, kein amtliches Inkrafttretensdatum)</w:t>
      </w:r>
    </w:p>
    <w:p>
      <w:r>
        <w:t xml:space="preserve">Eintragungen sind in der Weise dauerhaft aufzuzeichnen, dass etwaig vorgenommene spätere Änderungen und Löschungen jederzeit erkennbar sind. Durch technische und organisatorische Maßnahmen ist sicherzustellen, dass der ursprüngliche Inhalt weiterhin feststellbar bleibt. Die Sätze 1 und 2 gelten mit Ausnahme der in Spalte 1 enthaltenen Angaben und mit Ausnahme von Löschungsvermerken nicht für Eintragungen, bei denen seit der ordnungsgemäßen vollständigen Löschung mindestens zehn Jahre verstrichen sind.</w:t>
      </w:r>
    </w:p>
    <w:p>
      <w:r>
        <w:rPr>
          <w:color w:val="555555"/>
          <w:sz w:val="17"/>
        </w:rPr>
        <w:t xml:space="preserve">Zitiervorschlag: § 3 RefiRegV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https://recht.nulegal.eu/gesetze/RefiRegV/3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